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R4-2514275</w:t>
      </w:r>
      <w:bookmarkStart w:id="6" w:name="_GoBack"/>
      <w:bookmarkEnd w:id="6"/>
      <w:r>
        <w:rPr>
          <w:rFonts w:hint="eastAsia" w:ascii="Arial" w:hAnsi="Arial" w:cs="Arial"/>
          <w:b/>
          <w:sz w:val="24"/>
          <w:szCs w:val="24"/>
        </w:rPr>
        <w:t xml:space="preserve">                       </w:t>
      </w:r>
    </w:p>
    <w:p w14:paraId="451FE363">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ascii="Arial" w:hAnsi="Arial" w:eastAsia="MS Mincho" w:cs="Arial"/>
          <w:b/>
          <w:sz w:val="24"/>
          <w:szCs w:val="24"/>
          <w:lang w:eastAsia="en-US"/>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6.13.2.1</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2FF2195">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for the new RF requirements for SBFD BS</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2E74BCDC">
      <w:pPr>
        <w:tabs>
          <w:tab w:val="left" w:pos="2127"/>
        </w:tabs>
        <w:spacing w:after="0"/>
        <w:rPr>
          <w:rStyle w:val="31"/>
          <w:rFonts w:hint="eastAsia"/>
          <w:color w:val="auto"/>
          <w:szCs w:val="21"/>
          <w:shd w:val="clear" w:color="auto" w:fill="FFFFFF"/>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initial views on conformance testing for SBFD BS.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98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3F2F9B2">
            <w:pPr>
              <w:pStyle w:val="4"/>
              <w:numPr>
                <w:ilvl w:val="0"/>
                <w:numId w:val="0"/>
              </w:numPr>
              <w:ind w:left="720" w:hanging="720"/>
              <w:rPr>
                <w:lang w:val="en-US"/>
              </w:rPr>
            </w:pPr>
            <w:r>
              <w:rPr>
                <w:lang w:val="en-US"/>
              </w:rPr>
              <w:t>Sub-topic 5-1</w:t>
            </w:r>
            <w:r>
              <w:rPr>
                <w:rFonts w:hint="eastAsia"/>
                <w:lang w:val="en-US"/>
              </w:rPr>
              <w:t>:</w:t>
            </w:r>
            <w:r>
              <w:rPr>
                <w:lang w:val="en-US"/>
              </w:rPr>
              <w:t xml:space="preserve"> General assumptions of conformance testing </w:t>
            </w:r>
          </w:p>
          <w:p w14:paraId="3B61D4B1">
            <w:pPr>
              <w:pStyle w:val="6"/>
              <w:numPr>
                <w:ilvl w:val="0"/>
                <w:numId w:val="0"/>
              </w:numPr>
              <w:ind w:left="864" w:hanging="864"/>
              <w:rPr>
                <w:szCs w:val="13"/>
                <w:lang w:val="en-US"/>
              </w:rPr>
            </w:pPr>
            <w:r>
              <w:rPr>
                <w:szCs w:val="13"/>
                <w:lang w:val="en-US"/>
              </w:rPr>
              <w:t xml:space="preserve">Issue 5-1-1: System parameters of conformance testing </w:t>
            </w:r>
          </w:p>
          <w:p w14:paraId="05C12541">
            <w:pPr>
              <w:spacing w:after="120" w:line="259" w:lineRule="auto"/>
              <w:rPr>
                <w:szCs w:val="24"/>
                <w:lang w:eastAsia="zh-CN"/>
              </w:rPr>
            </w:pPr>
            <w:r>
              <w:rPr>
                <w:szCs w:val="24"/>
                <w:highlight w:val="green"/>
                <w:lang w:eastAsia="zh-CN"/>
              </w:rPr>
              <w:t>Agreement</w:t>
            </w:r>
            <w:r>
              <w:rPr>
                <w:szCs w:val="24"/>
                <w:lang w:eastAsia="zh-CN"/>
              </w:rPr>
              <w:t xml:space="preserve">: </w:t>
            </w:r>
          </w:p>
          <w:p w14:paraId="14E07D54">
            <w:pPr>
              <w:pStyle w:val="37"/>
              <w:numPr>
                <w:ilvl w:val="0"/>
                <w:numId w:val="2"/>
              </w:numPr>
              <w:overflowPunct/>
              <w:autoSpaceDE/>
              <w:autoSpaceDN/>
              <w:adjustRightInd/>
              <w:spacing w:after="120" w:line="259" w:lineRule="auto"/>
              <w:ind w:left="720" w:firstLineChars="0"/>
              <w:textAlignment w:val="auto"/>
              <w:rPr>
                <w:lang w:val="en-US"/>
              </w:rPr>
            </w:pPr>
            <w:r>
              <w:rPr>
                <w:lang w:val="en-US"/>
              </w:rPr>
              <w:t>For system parameters of conformance testing:</w:t>
            </w:r>
          </w:p>
          <w:p w14:paraId="3CF1AB59">
            <w:pPr>
              <w:pStyle w:val="37"/>
              <w:numPr>
                <w:ilvl w:val="1"/>
                <w:numId w:val="2"/>
              </w:numPr>
              <w:spacing w:after="120" w:line="259" w:lineRule="auto"/>
              <w:ind w:firstLineChars="0"/>
              <w:rPr>
                <w:rFonts w:eastAsia="宋体"/>
                <w:szCs w:val="24"/>
                <w:lang w:eastAsia="zh-CN"/>
              </w:rPr>
            </w:pPr>
            <w:r>
              <w:rPr>
                <w:rFonts w:eastAsia="宋体"/>
                <w:szCs w:val="24"/>
                <w:lang w:eastAsia="zh-CN"/>
              </w:rPr>
              <w:t>The operating bands supported by SBFD need to be added to TS 38.141-1 and TS 38.141-2.</w:t>
            </w:r>
          </w:p>
          <w:p w14:paraId="0C166181">
            <w:pPr>
              <w:pStyle w:val="37"/>
              <w:numPr>
                <w:ilvl w:val="1"/>
                <w:numId w:val="2"/>
              </w:numPr>
              <w:spacing w:after="120" w:line="259" w:lineRule="auto"/>
              <w:ind w:firstLineChars="0"/>
              <w:rPr>
                <w:rFonts w:eastAsia="宋体"/>
                <w:szCs w:val="24"/>
                <w:lang w:eastAsia="zh-CN"/>
              </w:rPr>
            </w:pPr>
            <w:r>
              <w:rPr>
                <w:rFonts w:eastAsia="宋体"/>
                <w:szCs w:val="24"/>
                <w:lang w:eastAsia="zh-CN"/>
              </w:rPr>
              <w:t>The channel bandwidths of SBFD capable BS and SBFD subband configuration(s) per supported channel bandwidth need to be added to TS 38.141-1 and TS 38.141-2.</w:t>
            </w:r>
          </w:p>
          <w:p w14:paraId="00359DCA">
            <w:pPr>
              <w:spacing w:after="120" w:line="259" w:lineRule="auto"/>
            </w:pPr>
          </w:p>
          <w:p w14:paraId="3AD93CCB">
            <w:pPr>
              <w:pStyle w:val="6"/>
              <w:numPr>
                <w:ilvl w:val="0"/>
                <w:numId w:val="0"/>
              </w:numPr>
              <w:ind w:left="1152" w:hanging="1152"/>
              <w:rPr>
                <w:lang w:val="en-US"/>
              </w:rPr>
            </w:pPr>
            <w:r>
              <w:rPr>
                <w:lang w:val="en-US"/>
              </w:rPr>
              <w:t>Issue 5-1-2: BS type for SBFD conformance testing</w:t>
            </w:r>
          </w:p>
          <w:p w14:paraId="797441DB">
            <w:pPr>
              <w:spacing w:after="120" w:line="259" w:lineRule="auto"/>
              <w:rPr>
                <w:szCs w:val="24"/>
                <w:lang w:eastAsia="zh-CN"/>
              </w:rPr>
            </w:pPr>
            <w:r>
              <w:rPr>
                <w:szCs w:val="24"/>
                <w:highlight w:val="green"/>
                <w:lang w:eastAsia="zh-CN"/>
              </w:rPr>
              <w:t>Agreement</w:t>
            </w:r>
            <w:r>
              <w:rPr>
                <w:szCs w:val="24"/>
                <w:lang w:eastAsia="zh-CN"/>
              </w:rPr>
              <w:t xml:space="preserve">: </w:t>
            </w:r>
          </w:p>
          <w:p w14:paraId="5C538FEA">
            <w:pPr>
              <w:pStyle w:val="37"/>
              <w:numPr>
                <w:ilvl w:val="0"/>
                <w:numId w:val="2"/>
              </w:numPr>
              <w:overflowPunct/>
              <w:autoSpaceDE/>
              <w:autoSpaceDN/>
              <w:adjustRightInd/>
              <w:spacing w:after="120" w:line="259" w:lineRule="auto"/>
              <w:ind w:left="720" w:firstLineChars="0"/>
              <w:textAlignment w:val="auto"/>
              <w:rPr>
                <w:lang w:val="en-US"/>
              </w:rPr>
            </w:pPr>
            <w:r>
              <w:rPr>
                <w:lang w:val="en-US"/>
              </w:rPr>
              <w:t xml:space="preserve">For BS type for SBFD conformance testing: </w:t>
            </w:r>
          </w:p>
          <w:p w14:paraId="22E1C5DA">
            <w:pPr>
              <w:pStyle w:val="37"/>
              <w:numPr>
                <w:ilvl w:val="1"/>
                <w:numId w:val="2"/>
              </w:numPr>
              <w:spacing w:after="120" w:line="259" w:lineRule="auto"/>
              <w:ind w:firstLineChars="0"/>
              <w:rPr>
                <w:rFonts w:eastAsia="宋体"/>
                <w:szCs w:val="24"/>
                <w:lang w:eastAsia="zh-CN"/>
              </w:rPr>
            </w:pPr>
            <w:r>
              <w:rPr>
                <w:rFonts w:eastAsia="宋体"/>
                <w:szCs w:val="24"/>
                <w:lang w:eastAsia="zh-CN"/>
              </w:rPr>
              <w:t>The general principle that SBFD doesn’t support type 1-C needs to be captured in TS 38.141-1.</w:t>
            </w:r>
          </w:p>
          <w:p w14:paraId="4CFA569A">
            <w:pPr>
              <w:spacing w:after="120" w:line="259" w:lineRule="auto"/>
            </w:pPr>
          </w:p>
          <w:p w14:paraId="6038774B">
            <w:pPr>
              <w:pStyle w:val="6"/>
              <w:numPr>
                <w:ilvl w:val="0"/>
                <w:numId w:val="0"/>
              </w:numPr>
              <w:ind w:left="1152" w:hanging="1152"/>
              <w:rPr>
                <w:lang w:val="en-US"/>
              </w:rPr>
            </w:pPr>
            <w:r>
              <w:rPr>
                <w:lang w:val="en-US"/>
              </w:rPr>
              <w:t>Issue 5-1-3: Declaration of supported SBFD configuration</w:t>
            </w:r>
          </w:p>
          <w:p w14:paraId="0B94F6E9">
            <w:pPr>
              <w:spacing w:after="120" w:line="259" w:lineRule="auto"/>
              <w:rPr>
                <w:szCs w:val="24"/>
                <w:lang w:eastAsia="zh-CN"/>
              </w:rPr>
            </w:pPr>
            <w:r>
              <w:rPr>
                <w:szCs w:val="24"/>
                <w:highlight w:val="green"/>
                <w:lang w:eastAsia="zh-CN"/>
              </w:rPr>
              <w:t>Agreement</w:t>
            </w:r>
            <w:r>
              <w:rPr>
                <w:szCs w:val="24"/>
                <w:lang w:eastAsia="zh-CN"/>
              </w:rPr>
              <w:t xml:space="preserve">: </w:t>
            </w:r>
          </w:p>
          <w:p w14:paraId="419AA47C">
            <w:pPr>
              <w:pStyle w:val="37"/>
              <w:numPr>
                <w:ilvl w:val="0"/>
                <w:numId w:val="2"/>
              </w:numPr>
              <w:overflowPunct/>
              <w:autoSpaceDE/>
              <w:autoSpaceDN/>
              <w:adjustRightInd/>
              <w:spacing w:after="120" w:line="259" w:lineRule="auto"/>
              <w:ind w:left="720" w:firstLineChars="0"/>
              <w:textAlignment w:val="auto"/>
              <w:rPr>
                <w:lang w:val="en-US"/>
              </w:rPr>
            </w:pPr>
            <w:r>
              <w:rPr>
                <w:lang w:val="en-US"/>
              </w:rPr>
              <w:t xml:space="preserve">Declaration of supported SBFD configuration: </w:t>
            </w:r>
          </w:p>
          <w:p w14:paraId="57D2E22C">
            <w:pPr>
              <w:pStyle w:val="37"/>
              <w:numPr>
                <w:ilvl w:val="1"/>
                <w:numId w:val="2"/>
              </w:numPr>
              <w:ind w:firstLineChars="0"/>
              <w:rPr>
                <w:lang w:val="en-US"/>
              </w:rPr>
            </w:pPr>
            <w:r>
              <w:rPr>
                <w:lang w:val="en-US"/>
              </w:rPr>
              <w:t xml:space="preserve">At least the following declarations shall be captured in TS 38.141-1/-2: </w:t>
            </w:r>
          </w:p>
          <w:p w14:paraId="188F6265">
            <w:pPr>
              <w:pStyle w:val="37"/>
              <w:numPr>
                <w:ilvl w:val="2"/>
                <w:numId w:val="2"/>
              </w:numPr>
              <w:ind w:firstLineChars="0"/>
              <w:rPr>
                <w:lang w:val="en-US"/>
              </w:rPr>
            </w:pPr>
            <w:r>
              <w:rPr>
                <w:lang w:val="en-US"/>
              </w:rPr>
              <w:t xml:space="preserve">TX power for SBFD; </w:t>
            </w:r>
          </w:p>
          <w:p w14:paraId="594C22FF">
            <w:pPr>
              <w:pStyle w:val="37"/>
              <w:numPr>
                <w:ilvl w:val="2"/>
                <w:numId w:val="2"/>
              </w:numPr>
              <w:ind w:firstLineChars="0"/>
              <w:rPr>
                <w:lang w:val="en-US"/>
              </w:rPr>
            </w:pPr>
            <w:r>
              <w:rPr>
                <w:lang w:val="en-US"/>
              </w:rPr>
              <w:t xml:space="preserve">Bands supported for SBFD; </w:t>
            </w:r>
          </w:p>
          <w:p w14:paraId="43877DFD">
            <w:pPr>
              <w:pStyle w:val="37"/>
              <w:numPr>
                <w:ilvl w:val="2"/>
                <w:numId w:val="2"/>
              </w:numPr>
              <w:ind w:firstLineChars="0"/>
              <w:rPr>
                <w:lang w:val="en-US"/>
              </w:rPr>
            </w:pPr>
            <w:r>
              <w:rPr>
                <w:lang w:val="en-US"/>
              </w:rPr>
              <w:t xml:space="preserve">Channel bandwidth(s) supported for SBFD, from existing channel bandwidth defined in TS 38.104; </w:t>
            </w:r>
          </w:p>
          <w:p w14:paraId="09038191">
            <w:pPr>
              <w:pStyle w:val="37"/>
              <w:numPr>
                <w:ilvl w:val="2"/>
                <w:numId w:val="2"/>
              </w:numPr>
              <w:ind w:firstLineChars="0"/>
              <w:rPr>
                <w:lang w:val="en-US"/>
              </w:rPr>
            </w:pPr>
            <w:r>
              <w:rPr>
                <w:lang w:val="en-US"/>
              </w:rPr>
              <w:t>SBFD subband configuration(s) per supported channel bandwidth, including SBFD pattern (DUD or DU/UD), size of DL subband(s), size of UL subband, and size of guardband(s) between subbands.</w:t>
            </w:r>
          </w:p>
          <w:p w14:paraId="02AF8BBB">
            <w:pPr>
              <w:pStyle w:val="37"/>
              <w:numPr>
                <w:ilvl w:val="2"/>
                <w:numId w:val="2"/>
              </w:numPr>
              <w:ind w:firstLineChars="0"/>
              <w:rPr>
                <w:lang w:val="en-US"/>
              </w:rPr>
            </w:pPr>
            <w:r>
              <w:rPr>
                <w:lang w:val="en-US"/>
              </w:rPr>
              <w:t>Other declarations are not precluded</w:t>
            </w:r>
          </w:p>
          <w:p w14:paraId="580ACEDD">
            <w:pPr>
              <w:rPr>
                <w:lang w:val="en-US" w:eastAsia="zh-CN"/>
              </w:rPr>
            </w:pPr>
          </w:p>
          <w:p w14:paraId="47B8F7E3">
            <w:pPr>
              <w:pStyle w:val="6"/>
              <w:numPr>
                <w:ilvl w:val="0"/>
                <w:numId w:val="0"/>
              </w:numPr>
              <w:ind w:left="1152" w:hanging="1152"/>
              <w:rPr>
                <w:lang w:val="en-US"/>
              </w:rPr>
            </w:pPr>
            <w:r>
              <w:rPr>
                <w:lang w:val="en-US"/>
              </w:rPr>
              <w:t>Issue 5-1-4: Testing applicability for supported SBFD configuration</w:t>
            </w:r>
          </w:p>
          <w:p w14:paraId="1F5FFA3E">
            <w:pPr>
              <w:spacing w:after="120" w:line="259" w:lineRule="auto"/>
              <w:rPr>
                <w:lang w:val="en-US"/>
              </w:rPr>
            </w:pPr>
            <w:r>
              <w:rPr>
                <w:rFonts w:hint="eastAsia"/>
                <w:lang w:val="en-US"/>
              </w:rPr>
              <w:t>W</w:t>
            </w:r>
            <w:r>
              <w:rPr>
                <w:lang w:val="en-US"/>
              </w:rPr>
              <w:t xml:space="preserve">ay forward: </w:t>
            </w:r>
          </w:p>
          <w:p w14:paraId="4E7ACE1F">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test configuration:</w:t>
            </w:r>
          </w:p>
          <w:p w14:paraId="58426C7A">
            <w:pPr>
              <w:pStyle w:val="37"/>
              <w:numPr>
                <w:ilvl w:val="1"/>
                <w:numId w:val="2"/>
              </w:numPr>
              <w:spacing w:after="120" w:line="259" w:lineRule="auto"/>
              <w:ind w:firstLineChars="0"/>
              <w:rPr>
                <w:lang w:val="en-US"/>
              </w:rPr>
            </w:pPr>
            <w:r>
              <w:rPr>
                <w:lang w:val="en-US"/>
              </w:rPr>
              <w:t>For DU /UD configurations and DUD configuration, testing only needs to consider DU or UD configuration, and retesting under DUD configuration is not required. For the restriction on guardband size of SBFD</w:t>
            </w:r>
          </w:p>
          <w:p w14:paraId="02DC4326">
            <w:pPr>
              <w:pStyle w:val="37"/>
              <w:numPr>
                <w:ilvl w:val="1"/>
                <w:numId w:val="2"/>
              </w:numPr>
              <w:spacing w:after="120" w:line="259" w:lineRule="auto"/>
              <w:ind w:firstLineChars="0"/>
              <w:rPr>
                <w:lang w:val="en-US"/>
              </w:rPr>
            </w:pPr>
            <w:r>
              <w:rPr>
                <w:lang w:val="en-US"/>
              </w:rPr>
              <w:t>Based on SBFD core requirements definition, test complexity reduction study is deemed necessary given that e.g. it is going to cover all the declared SBFD configurations.</w:t>
            </w:r>
          </w:p>
          <w:p w14:paraId="1ABE3D32">
            <w:pPr>
              <w:spacing w:after="120" w:line="259" w:lineRule="auto"/>
            </w:pPr>
          </w:p>
          <w:p w14:paraId="48C2F07A">
            <w:pPr>
              <w:pStyle w:val="6"/>
              <w:numPr>
                <w:ilvl w:val="0"/>
                <w:numId w:val="0"/>
              </w:numPr>
              <w:ind w:left="1152" w:hanging="1152"/>
              <w:rPr>
                <w:lang w:val="en-US"/>
              </w:rPr>
            </w:pPr>
            <w:r>
              <w:rPr>
                <w:lang w:val="en-US"/>
              </w:rPr>
              <w:t>Issue 5-1-5: RF channels to be tested for SBFD operation</w:t>
            </w:r>
          </w:p>
          <w:p w14:paraId="41D81246">
            <w:pPr>
              <w:spacing w:after="120" w:line="259" w:lineRule="auto"/>
              <w:rPr>
                <w:lang w:val="en-US"/>
              </w:rPr>
            </w:pPr>
            <w:r>
              <w:rPr>
                <w:rFonts w:hint="eastAsia"/>
                <w:lang w:val="en-US"/>
              </w:rPr>
              <w:t>W</w:t>
            </w:r>
            <w:r>
              <w:rPr>
                <w:lang w:val="en-US"/>
              </w:rPr>
              <w:t xml:space="preserve">ay forward: </w:t>
            </w:r>
          </w:p>
          <w:p w14:paraId="30A4FBB9">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RF channels to be tested for SBFD operation:</w:t>
            </w:r>
          </w:p>
          <w:p w14:paraId="32648CC8">
            <w:pPr>
              <w:pStyle w:val="37"/>
              <w:numPr>
                <w:ilvl w:val="1"/>
                <w:numId w:val="2"/>
              </w:numPr>
              <w:spacing w:after="120" w:line="259" w:lineRule="auto"/>
              <w:ind w:firstLineChars="0"/>
              <w:rPr>
                <w:rFonts w:eastAsia="宋体"/>
                <w:szCs w:val="24"/>
                <w:lang w:eastAsia="zh-CN"/>
              </w:rPr>
            </w:pPr>
            <w:r>
              <w:rPr>
                <w:rFonts w:eastAsia="宋体"/>
                <w:szCs w:val="24"/>
                <w:lang w:eastAsia="zh-CN"/>
              </w:rPr>
              <w:t>When testing the SBFD mode, it is recommended to configure the SBFD carrier at the bottom and top positions of the operating frequency band.</w:t>
            </w:r>
          </w:p>
          <w:p w14:paraId="063D0285">
            <w:pPr>
              <w:spacing w:after="120" w:line="259" w:lineRule="auto"/>
            </w:pPr>
          </w:p>
          <w:p w14:paraId="3A560ACF">
            <w:pPr>
              <w:pStyle w:val="4"/>
              <w:numPr>
                <w:ilvl w:val="0"/>
                <w:numId w:val="0"/>
              </w:numPr>
              <w:ind w:left="720" w:hanging="720"/>
              <w:rPr>
                <w:lang w:val="en-US"/>
              </w:rPr>
            </w:pPr>
            <w:r>
              <w:rPr>
                <w:lang w:val="en-US"/>
              </w:rPr>
              <w:t>Sub-topic 5-2</w:t>
            </w:r>
            <w:r>
              <w:rPr>
                <w:rFonts w:hint="eastAsia"/>
                <w:lang w:val="en-US"/>
              </w:rPr>
              <w:t>:</w:t>
            </w:r>
            <w:r>
              <w:rPr>
                <w:lang w:val="en-US"/>
              </w:rPr>
              <w:t xml:space="preserve"> Conformance testing for new RF requirements</w:t>
            </w:r>
          </w:p>
          <w:p w14:paraId="4A24CFBD">
            <w:pPr>
              <w:pStyle w:val="6"/>
              <w:numPr>
                <w:ilvl w:val="0"/>
                <w:numId w:val="0"/>
              </w:numPr>
              <w:ind w:left="864" w:hanging="864"/>
              <w:rPr>
                <w:szCs w:val="13"/>
                <w:lang w:val="en-US"/>
              </w:rPr>
            </w:pPr>
            <w:r>
              <w:rPr>
                <w:szCs w:val="13"/>
                <w:lang w:val="en-US"/>
              </w:rPr>
              <w:t>Issue 5-2-1: Conformance testing related to transient period between SBFD and non-SBFD</w:t>
            </w:r>
          </w:p>
          <w:p w14:paraId="3EDA4323">
            <w:pPr>
              <w:spacing w:after="120" w:line="259" w:lineRule="auto"/>
              <w:rPr>
                <w:lang w:val="en-US"/>
              </w:rPr>
            </w:pPr>
            <w:r>
              <w:rPr>
                <w:rFonts w:hint="eastAsia"/>
                <w:lang w:val="en-US"/>
              </w:rPr>
              <w:t>W</w:t>
            </w:r>
            <w:r>
              <w:rPr>
                <w:lang w:val="en-US"/>
              </w:rPr>
              <w:t xml:space="preserve">ay forward: </w:t>
            </w:r>
          </w:p>
          <w:p w14:paraId="6553821A">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transient period between SBFD and non-SBFD:</w:t>
            </w:r>
          </w:p>
          <w:p w14:paraId="3DAC0F8E">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For t</w:t>
            </w:r>
            <w:r>
              <w:rPr>
                <w:rFonts w:eastAsia="宋体"/>
                <w:szCs w:val="24"/>
                <w:lang w:eastAsia="zh-CN"/>
              </w:rPr>
              <w:t>ransient period between SBFD and non-SBFD</w:t>
            </w:r>
            <w:r>
              <w:rPr>
                <w:rFonts w:hint="eastAsia" w:eastAsia="宋体"/>
                <w:szCs w:val="24"/>
                <w:lang w:eastAsia="zh-CN"/>
              </w:rPr>
              <w:t xml:space="preserve"> testing, it is needed to add a new test model which can switch between </w:t>
            </w:r>
            <w:r>
              <w:rPr>
                <w:rFonts w:eastAsia="宋体"/>
                <w:szCs w:val="24"/>
                <w:lang w:eastAsia="zh-CN"/>
              </w:rPr>
              <w:t>SBFD and non-SBFD</w:t>
            </w:r>
            <w:r>
              <w:rPr>
                <w:rFonts w:hint="eastAsia" w:eastAsia="宋体"/>
                <w:szCs w:val="24"/>
                <w:lang w:eastAsia="zh-CN"/>
              </w:rPr>
              <w:t xml:space="preserve">. </w:t>
            </w:r>
          </w:p>
          <w:p w14:paraId="38412CAF">
            <w:pPr>
              <w:pStyle w:val="37"/>
              <w:overflowPunct/>
              <w:autoSpaceDE/>
              <w:autoSpaceDN/>
              <w:adjustRightInd/>
              <w:spacing w:after="120" w:line="259" w:lineRule="auto"/>
              <w:ind w:left="1656" w:firstLine="0" w:firstLineChars="0"/>
              <w:textAlignment w:val="auto"/>
              <w:rPr>
                <w:rFonts w:eastAsia="宋体"/>
                <w:szCs w:val="24"/>
                <w:lang w:eastAsia="zh-CN"/>
              </w:rPr>
            </w:pPr>
          </w:p>
          <w:p w14:paraId="5D93426C">
            <w:pPr>
              <w:pStyle w:val="6"/>
              <w:numPr>
                <w:ilvl w:val="0"/>
                <w:numId w:val="0"/>
              </w:numPr>
              <w:ind w:left="864" w:hanging="864"/>
              <w:rPr>
                <w:szCs w:val="13"/>
                <w:lang w:val="en-US"/>
              </w:rPr>
            </w:pPr>
            <w:r>
              <w:rPr>
                <w:szCs w:val="13"/>
                <w:lang w:val="en-US"/>
              </w:rPr>
              <w:t>Issue 5-2-2: Conformance testing related to in-channel adjacent subband leakage</w:t>
            </w:r>
          </w:p>
          <w:p w14:paraId="5E1D6C1F">
            <w:pPr>
              <w:spacing w:after="120" w:line="259" w:lineRule="auto"/>
              <w:rPr>
                <w:lang w:val="en-US"/>
              </w:rPr>
            </w:pPr>
            <w:r>
              <w:rPr>
                <w:rFonts w:hint="eastAsia"/>
                <w:lang w:val="en-US"/>
              </w:rPr>
              <w:t>W</w:t>
            </w:r>
            <w:r>
              <w:rPr>
                <w:lang w:val="en-US"/>
              </w:rPr>
              <w:t xml:space="preserve">ay forward: </w:t>
            </w:r>
          </w:p>
          <w:p w14:paraId="6B047B26">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in-channel adjacent subband leakage:</w:t>
            </w:r>
          </w:p>
          <w:p w14:paraId="0CDD830C">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in-channel adjacent subband leakage requirement</w:t>
            </w:r>
            <w:r>
              <w:rPr>
                <w:rFonts w:hint="eastAsia" w:eastAsia="宋体"/>
                <w:szCs w:val="24"/>
                <w:lang w:eastAsia="zh-CN"/>
              </w:rPr>
              <w:t xml:space="preserve"> testing</w:t>
            </w:r>
            <w:r>
              <w:rPr>
                <w:rFonts w:eastAsia="宋体"/>
                <w:szCs w:val="24"/>
                <w:lang w:eastAsia="zh-CN"/>
              </w:rPr>
              <w:t xml:space="preserve"> </w:t>
            </w:r>
            <w:r>
              <w:rPr>
                <w:rFonts w:hint="eastAsia" w:eastAsia="宋体"/>
                <w:szCs w:val="24"/>
                <w:lang w:eastAsia="zh-CN"/>
              </w:rPr>
              <w:t xml:space="preserve">of </w:t>
            </w:r>
            <w:r>
              <w:rPr>
                <w:rFonts w:eastAsia="宋体"/>
                <w:szCs w:val="24"/>
                <w:lang w:eastAsia="zh-CN"/>
              </w:rPr>
              <w:t>SBFD capable BS</w:t>
            </w:r>
            <w:r>
              <w:rPr>
                <w:rFonts w:hint="eastAsia" w:eastAsia="宋体"/>
                <w:szCs w:val="24"/>
                <w:lang w:eastAsia="zh-CN"/>
              </w:rPr>
              <w:t>,</w:t>
            </w:r>
            <w:r>
              <w:rPr>
                <w:rFonts w:eastAsia="宋体"/>
                <w:szCs w:val="24"/>
                <w:lang w:eastAsia="zh-CN"/>
              </w:rPr>
              <w:t xml:space="preserve"> </w:t>
            </w:r>
            <w:r>
              <w:rPr>
                <w:rFonts w:hint="eastAsia" w:eastAsia="宋体"/>
                <w:szCs w:val="24"/>
                <w:lang w:eastAsia="zh-CN"/>
              </w:rPr>
              <w:t xml:space="preserve">the desired test model and frequency location of wanted signal </w:t>
            </w:r>
            <w:r>
              <w:rPr>
                <w:rFonts w:eastAsia="宋体"/>
                <w:szCs w:val="24"/>
                <w:lang w:eastAsia="zh-CN"/>
              </w:rPr>
              <w:t>are the same as th</w:t>
            </w:r>
            <w:r>
              <w:rPr>
                <w:rFonts w:hint="eastAsia" w:eastAsia="宋体"/>
                <w:szCs w:val="24"/>
                <w:lang w:eastAsia="zh-CN"/>
              </w:rPr>
              <w:t>ose</w:t>
            </w:r>
            <w:r>
              <w:rPr>
                <w:rFonts w:eastAsia="宋体"/>
                <w:szCs w:val="24"/>
                <w:lang w:eastAsia="zh-CN"/>
              </w:rPr>
              <w:t xml:space="preserve"> used for BS ACLR absolute basic limit testing</w:t>
            </w:r>
            <w:r>
              <w:rPr>
                <w:rFonts w:hint="eastAsia" w:eastAsia="宋体"/>
                <w:szCs w:val="24"/>
                <w:lang w:eastAsia="zh-CN"/>
              </w:rPr>
              <w:t xml:space="preserve">, </w:t>
            </w:r>
            <w:r>
              <w:rPr>
                <w:rFonts w:eastAsia="宋体"/>
                <w:szCs w:val="24"/>
                <w:lang w:eastAsia="zh-CN"/>
              </w:rPr>
              <w:t>but with different test frequency ranges.</w:t>
            </w:r>
          </w:p>
          <w:p w14:paraId="28F90946">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in-channel adjacent subband leakage requirement testing</w:t>
            </w:r>
            <w:r>
              <w:rPr>
                <w:rFonts w:hint="eastAsia" w:eastAsia="宋体"/>
                <w:szCs w:val="24"/>
                <w:lang w:eastAsia="zh-CN"/>
              </w:rPr>
              <w:t xml:space="preserve"> of </w:t>
            </w:r>
            <w:r>
              <w:rPr>
                <w:rFonts w:eastAsia="宋体"/>
                <w:szCs w:val="24"/>
                <w:lang w:eastAsia="zh-CN"/>
              </w:rPr>
              <w:t xml:space="preserve">SBFD capable BS, the desired test model and frequency location of wanted signal </w:t>
            </w:r>
            <w:r>
              <w:rPr>
                <w:rFonts w:hint="eastAsia" w:eastAsia="宋体"/>
                <w:szCs w:val="24"/>
                <w:lang w:eastAsia="zh-CN"/>
              </w:rPr>
              <w:t>are necessary to added to both TS 38.141-1 and TS 38.141-2.</w:t>
            </w:r>
          </w:p>
          <w:p w14:paraId="74E598D2">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in-channel adjacent subband leakage requirement testing of SBFD capable BS, </w:t>
            </w:r>
            <w:r>
              <w:rPr>
                <w:rFonts w:hint="eastAsia" w:eastAsia="宋体"/>
                <w:szCs w:val="24"/>
                <w:lang w:eastAsia="zh-CN"/>
              </w:rPr>
              <w:t xml:space="preserve">the test </w:t>
            </w:r>
            <w:r>
              <w:rPr>
                <w:rFonts w:eastAsia="宋体"/>
                <w:szCs w:val="24"/>
                <w:lang w:eastAsia="zh-CN"/>
              </w:rPr>
              <w:t>frequency range</w:t>
            </w:r>
            <w:r>
              <w:rPr>
                <w:rFonts w:hint="eastAsia" w:eastAsia="宋体"/>
                <w:szCs w:val="24"/>
                <w:lang w:eastAsia="zh-CN"/>
              </w:rPr>
              <w:t xml:space="preserve"> is necessary to added to both TS 38.141-1 and TS 38.141-2.</w:t>
            </w:r>
          </w:p>
          <w:p w14:paraId="2DC097F4">
            <w:pPr>
              <w:pStyle w:val="37"/>
              <w:overflowPunct/>
              <w:autoSpaceDE/>
              <w:autoSpaceDN/>
              <w:adjustRightInd/>
              <w:spacing w:after="120" w:line="259" w:lineRule="auto"/>
              <w:ind w:left="1656" w:firstLine="0" w:firstLineChars="0"/>
              <w:textAlignment w:val="auto"/>
              <w:rPr>
                <w:rFonts w:eastAsia="宋体"/>
                <w:szCs w:val="24"/>
                <w:lang w:eastAsia="zh-CN"/>
              </w:rPr>
            </w:pPr>
          </w:p>
          <w:p w14:paraId="79BF2E1A">
            <w:pPr>
              <w:pStyle w:val="6"/>
              <w:numPr>
                <w:ilvl w:val="0"/>
                <w:numId w:val="0"/>
              </w:numPr>
              <w:ind w:left="864" w:hanging="864"/>
              <w:rPr>
                <w:szCs w:val="13"/>
                <w:lang w:val="en-US"/>
              </w:rPr>
            </w:pPr>
            <w:r>
              <w:rPr>
                <w:szCs w:val="13"/>
                <w:lang w:val="en-US"/>
              </w:rPr>
              <w:t>Issue 5-2-3: Conformance testing related to in-channel adjacent subband blocking</w:t>
            </w:r>
          </w:p>
          <w:p w14:paraId="470E93A3">
            <w:pPr>
              <w:spacing w:after="120" w:line="259" w:lineRule="auto"/>
              <w:rPr>
                <w:lang w:val="en-US"/>
              </w:rPr>
            </w:pPr>
            <w:r>
              <w:rPr>
                <w:rFonts w:hint="eastAsia"/>
                <w:lang w:val="en-US"/>
              </w:rPr>
              <w:t>W</w:t>
            </w:r>
            <w:r>
              <w:rPr>
                <w:lang w:val="en-US"/>
              </w:rPr>
              <w:t xml:space="preserve">ay forward: </w:t>
            </w:r>
          </w:p>
          <w:p w14:paraId="3C132A20">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in-channel adjacent subband blocking:</w:t>
            </w:r>
          </w:p>
          <w:p w14:paraId="27249AB0">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 xml:space="preserve">For </w:t>
            </w:r>
            <w:r>
              <w:rPr>
                <w:rFonts w:eastAsia="宋体"/>
                <w:szCs w:val="24"/>
                <w:lang w:eastAsia="zh-CN"/>
              </w:rPr>
              <w:t>in-channel adjacent subband blocking</w:t>
            </w:r>
            <w:r>
              <w:rPr>
                <w:rFonts w:hint="eastAsia" w:eastAsia="宋体"/>
                <w:szCs w:val="24"/>
                <w:lang w:eastAsia="zh-CN"/>
              </w:rPr>
              <w:t xml:space="preserve"> testing of </w:t>
            </w:r>
            <w:r>
              <w:rPr>
                <w:rFonts w:eastAsia="宋体"/>
                <w:szCs w:val="24"/>
                <w:lang w:eastAsia="zh-CN"/>
              </w:rPr>
              <w:t>SBFD capable BS</w:t>
            </w:r>
            <w:r>
              <w:rPr>
                <w:rFonts w:hint="eastAsia" w:eastAsia="宋体"/>
                <w:szCs w:val="24"/>
                <w:lang w:eastAsia="zh-CN"/>
              </w:rPr>
              <w:t>, the transmitters must be turned on.</w:t>
            </w:r>
          </w:p>
          <w:p w14:paraId="424F2914">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in-channel adjacent subband blocking testing </w:t>
            </w:r>
            <w:r>
              <w:rPr>
                <w:rFonts w:hint="eastAsia" w:eastAsia="宋体"/>
                <w:szCs w:val="24"/>
                <w:lang w:eastAsia="zh-CN"/>
              </w:rPr>
              <w:t xml:space="preserve">of </w:t>
            </w:r>
            <w:r>
              <w:rPr>
                <w:rFonts w:eastAsia="宋体"/>
                <w:szCs w:val="24"/>
                <w:lang w:eastAsia="zh-CN"/>
              </w:rPr>
              <w:t xml:space="preserve">SBFD capable BS, the desired Rx input signal and </w:t>
            </w:r>
            <w:r>
              <w:rPr>
                <w:rFonts w:hint="eastAsia" w:eastAsia="宋体"/>
                <w:szCs w:val="24"/>
                <w:lang w:eastAsia="zh-CN"/>
              </w:rPr>
              <w:t xml:space="preserve">its </w:t>
            </w:r>
            <w:r>
              <w:rPr>
                <w:rFonts w:eastAsia="宋体"/>
                <w:szCs w:val="24"/>
                <w:lang w:eastAsia="zh-CN"/>
              </w:rPr>
              <w:t>frequency location are the same as those used for in-band blocking requirem</w:t>
            </w:r>
            <w:r>
              <w:rPr>
                <w:rFonts w:hint="eastAsia" w:eastAsia="宋体"/>
                <w:szCs w:val="24"/>
                <w:lang w:eastAsia="zh-CN"/>
              </w:rPr>
              <w:t>e</w:t>
            </w:r>
            <w:r>
              <w:rPr>
                <w:rFonts w:eastAsia="宋体"/>
                <w:szCs w:val="24"/>
                <w:lang w:eastAsia="zh-CN"/>
              </w:rPr>
              <w:t>nt.</w:t>
            </w:r>
          </w:p>
          <w:p w14:paraId="7D8C9ED1">
            <w:pPr>
              <w:pStyle w:val="37"/>
              <w:numPr>
                <w:ilvl w:val="1"/>
                <w:numId w:val="2"/>
              </w:numPr>
              <w:overflowPunct/>
              <w:autoSpaceDE/>
              <w:autoSpaceDN/>
              <w:adjustRightInd/>
              <w:spacing w:after="120" w:line="259" w:lineRule="auto"/>
              <w:ind w:firstLineChars="0"/>
              <w:textAlignment w:val="auto"/>
              <w:rPr>
                <w:rStyle w:val="31"/>
                <w:rFonts w:hint="default"/>
                <w:color w:val="auto"/>
                <w:szCs w:val="21"/>
                <w:shd w:val="clear" w:color="auto" w:fill="FFFFFF"/>
                <w:vertAlign w:val="baseline"/>
                <w:lang w:val="en-US" w:eastAsia="zh-CN"/>
              </w:rPr>
            </w:pPr>
            <w:r>
              <w:rPr>
                <w:rFonts w:eastAsia="宋体"/>
                <w:szCs w:val="24"/>
                <w:lang w:eastAsia="zh-CN"/>
              </w:rPr>
              <w:t xml:space="preserve">For SBFD capable BS, </w:t>
            </w:r>
            <w:r>
              <w:rPr>
                <w:rFonts w:hint="eastAsia" w:eastAsia="宋体"/>
                <w:szCs w:val="24"/>
                <w:lang w:eastAsia="zh-CN"/>
              </w:rPr>
              <w:t xml:space="preserve">the test frequency range of </w:t>
            </w:r>
            <w:r>
              <w:rPr>
                <w:rFonts w:eastAsia="宋体"/>
                <w:szCs w:val="24"/>
                <w:lang w:eastAsia="zh-CN"/>
              </w:rPr>
              <w:t>in-channel adjacent subband blocking</w:t>
            </w:r>
            <w:r>
              <w:rPr>
                <w:rFonts w:hint="eastAsia" w:eastAsia="宋体"/>
                <w:szCs w:val="24"/>
                <w:lang w:eastAsia="zh-CN"/>
              </w:rPr>
              <w:t xml:space="preserve"> is necessary to added to both TS 38.141-1 and TS 38.141-2.</w:t>
            </w:r>
            <w:r>
              <w:rPr>
                <w:rFonts w:eastAsia="宋体"/>
                <w:szCs w:val="24"/>
                <w:lang w:eastAsia="zh-CN"/>
              </w:rPr>
              <w:t xml:space="preserve"> </w:t>
            </w:r>
          </w:p>
        </w:tc>
      </w:tr>
    </w:tbl>
    <w:p w14:paraId="6C54A466">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cs="Times New Roman"/>
          <w:kern w:val="2"/>
          <w:sz w:val="20"/>
          <w:szCs w:val="20"/>
          <w:lang w:val="en-US" w:eastAsia="zh-CN" w:bidi="ar-SA"/>
        </w:rPr>
      </w:pP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bookmarkEnd w:id="1"/>
    <w:bookmarkEnd w:id="2"/>
    <w:bookmarkEnd w:id="3"/>
    <w:bookmarkEnd w:id="4"/>
    <w:p w14:paraId="43DB0E75">
      <w:pPr>
        <w:pStyle w:val="6"/>
        <w:numPr>
          <w:ilvl w:val="0"/>
          <w:numId w:val="0"/>
        </w:numPr>
        <w:ind w:left="864" w:hanging="864"/>
        <w:rPr>
          <w:rFonts w:hint="default" w:eastAsia="宋体"/>
          <w:sz w:val="20"/>
          <w:szCs w:val="20"/>
          <w:lang w:val="en-US" w:eastAsia="zh-CN"/>
        </w:rPr>
      </w:pPr>
      <w:r>
        <w:rPr>
          <w:rFonts w:ascii="Arial" w:hAnsi="Arial" w:cs="Arial"/>
          <w:sz w:val="28"/>
          <w:szCs w:val="28"/>
        </w:rPr>
        <w:t xml:space="preserve">2.1. </w:t>
      </w:r>
      <w:r>
        <w:rPr>
          <w:rFonts w:hint="eastAsia" w:cs="Arial"/>
          <w:sz w:val="28"/>
          <w:szCs w:val="28"/>
          <w:lang w:val="en-US" w:eastAsia="zh-CN"/>
        </w:rPr>
        <w:t>T</w:t>
      </w:r>
      <w:r>
        <w:rPr>
          <w:rFonts w:hint="eastAsia" w:ascii="Arial" w:hAnsi="Arial" w:cs="Arial"/>
          <w:sz w:val="28"/>
          <w:szCs w:val="28"/>
          <w:lang w:val="en-US" w:eastAsia="zh-CN"/>
        </w:rPr>
        <w:t>ransient period between SBFD and non-SBFD</w:t>
      </w:r>
    </w:p>
    <w:p w14:paraId="314D1DC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Regarding the transition period between SBFD and non-SBFD symbols, as captured in the WF, a new test model is needed. In order to simplify the additional test model configuration for TDD BS, we propose to use the existing TDD pattern as following as baseline configuration for SBFD configuration.</w:t>
      </w:r>
    </w:p>
    <w:p w14:paraId="288EBEBB">
      <w:pPr>
        <w:pStyle w:val="48"/>
      </w:pPr>
      <w:r>
        <w:t xml:space="preserve">Table 4.9.2.2-1: Configurations of TDD for </w:t>
      </w:r>
      <w:r>
        <w:rPr>
          <w:i/>
        </w:rPr>
        <w:t>BS type 1-C</w:t>
      </w:r>
      <w:r>
        <w:t xml:space="preserve"> and </w:t>
      </w:r>
      <w:r>
        <w:rPr>
          <w:i/>
        </w:rPr>
        <w:t xml:space="preserve">BS type 1-H </w:t>
      </w:r>
      <w:r>
        <w:t>test models</w:t>
      </w:r>
    </w:p>
    <w:tbl>
      <w:tblPr>
        <w:tblStyle w:val="2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14:paraId="2DB0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323DB2FE">
            <w:pPr>
              <w:pStyle w:val="38"/>
            </w:pPr>
            <w:r>
              <w:t>Field name</w:t>
            </w:r>
          </w:p>
        </w:tc>
        <w:tc>
          <w:tcPr>
            <w:tcW w:w="3888" w:type="dxa"/>
            <w:gridSpan w:val="3"/>
          </w:tcPr>
          <w:p w14:paraId="1DD92015">
            <w:pPr>
              <w:pStyle w:val="38"/>
            </w:pPr>
            <w:r>
              <w:t xml:space="preserve">Value </w:t>
            </w:r>
          </w:p>
        </w:tc>
      </w:tr>
      <w:tr w14:paraId="3CD0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6653B048">
            <w:pPr>
              <w:pStyle w:val="39"/>
              <w:rPr>
                <w:szCs w:val="18"/>
              </w:rPr>
            </w:pPr>
            <w:r>
              <w:rPr>
                <w:szCs w:val="18"/>
              </w:rPr>
              <w:t>referenceSubcarrierSpacing (kHz)</w:t>
            </w:r>
          </w:p>
        </w:tc>
        <w:tc>
          <w:tcPr>
            <w:tcW w:w="1296" w:type="dxa"/>
          </w:tcPr>
          <w:p w14:paraId="339E9A37">
            <w:pPr>
              <w:pStyle w:val="39"/>
              <w:rPr>
                <w:szCs w:val="18"/>
              </w:rPr>
            </w:pPr>
            <w:r>
              <w:rPr>
                <w:szCs w:val="18"/>
              </w:rPr>
              <w:t>15</w:t>
            </w:r>
          </w:p>
        </w:tc>
        <w:tc>
          <w:tcPr>
            <w:tcW w:w="1296" w:type="dxa"/>
          </w:tcPr>
          <w:p w14:paraId="668F0493">
            <w:pPr>
              <w:pStyle w:val="39"/>
              <w:rPr>
                <w:szCs w:val="18"/>
              </w:rPr>
            </w:pPr>
            <w:r>
              <w:rPr>
                <w:szCs w:val="18"/>
              </w:rPr>
              <w:t>30</w:t>
            </w:r>
          </w:p>
        </w:tc>
        <w:tc>
          <w:tcPr>
            <w:tcW w:w="1296" w:type="dxa"/>
          </w:tcPr>
          <w:p w14:paraId="17AF5804">
            <w:pPr>
              <w:pStyle w:val="39"/>
              <w:rPr>
                <w:szCs w:val="18"/>
              </w:rPr>
            </w:pPr>
            <w:r>
              <w:rPr>
                <w:szCs w:val="18"/>
              </w:rPr>
              <w:t>60</w:t>
            </w:r>
          </w:p>
        </w:tc>
      </w:tr>
      <w:tr w14:paraId="6C6A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1FDC8E83">
            <w:pPr>
              <w:pStyle w:val="39"/>
              <w:rPr>
                <w:szCs w:val="18"/>
              </w:rPr>
            </w:pPr>
            <w:r>
              <w:rPr>
                <w:szCs w:val="18"/>
              </w:rPr>
              <w:t>Periodicity (ms) for dl-UL-TransmissionPeriodicity</w:t>
            </w:r>
          </w:p>
        </w:tc>
        <w:tc>
          <w:tcPr>
            <w:tcW w:w="1296" w:type="dxa"/>
          </w:tcPr>
          <w:p w14:paraId="6B53ED50">
            <w:pPr>
              <w:pStyle w:val="39"/>
              <w:rPr>
                <w:szCs w:val="18"/>
              </w:rPr>
            </w:pPr>
            <w:r>
              <w:rPr>
                <w:szCs w:val="18"/>
              </w:rPr>
              <w:t xml:space="preserve">5 </w:t>
            </w:r>
          </w:p>
        </w:tc>
        <w:tc>
          <w:tcPr>
            <w:tcW w:w="1296" w:type="dxa"/>
          </w:tcPr>
          <w:p w14:paraId="0DC3F8F9">
            <w:pPr>
              <w:pStyle w:val="39"/>
              <w:rPr>
                <w:szCs w:val="18"/>
              </w:rPr>
            </w:pPr>
            <w:r>
              <w:rPr>
                <w:szCs w:val="18"/>
              </w:rPr>
              <w:t>5</w:t>
            </w:r>
          </w:p>
        </w:tc>
        <w:tc>
          <w:tcPr>
            <w:tcW w:w="1296" w:type="dxa"/>
          </w:tcPr>
          <w:p w14:paraId="323312F1">
            <w:pPr>
              <w:pStyle w:val="39"/>
              <w:rPr>
                <w:szCs w:val="18"/>
              </w:rPr>
            </w:pPr>
            <w:r>
              <w:rPr>
                <w:szCs w:val="18"/>
              </w:rPr>
              <w:t>5</w:t>
            </w:r>
          </w:p>
        </w:tc>
      </w:tr>
      <w:tr w14:paraId="6240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4CE44BA5">
            <w:pPr>
              <w:pStyle w:val="39"/>
              <w:rPr>
                <w:szCs w:val="18"/>
              </w:rPr>
            </w:pPr>
            <w:r>
              <w:rPr>
                <w:szCs w:val="18"/>
              </w:rPr>
              <w:t>nrofDownlinkSlots</w:t>
            </w:r>
          </w:p>
        </w:tc>
        <w:tc>
          <w:tcPr>
            <w:tcW w:w="1296" w:type="dxa"/>
          </w:tcPr>
          <w:p w14:paraId="6D36E702">
            <w:pPr>
              <w:pStyle w:val="39"/>
              <w:rPr>
                <w:szCs w:val="18"/>
              </w:rPr>
            </w:pPr>
            <w:r>
              <w:rPr>
                <w:szCs w:val="18"/>
              </w:rPr>
              <w:t>3</w:t>
            </w:r>
          </w:p>
        </w:tc>
        <w:tc>
          <w:tcPr>
            <w:tcW w:w="1296" w:type="dxa"/>
          </w:tcPr>
          <w:p w14:paraId="6E493168">
            <w:pPr>
              <w:pStyle w:val="39"/>
              <w:rPr>
                <w:szCs w:val="18"/>
              </w:rPr>
            </w:pPr>
            <w:r>
              <w:rPr>
                <w:szCs w:val="18"/>
              </w:rPr>
              <w:t>7</w:t>
            </w:r>
          </w:p>
        </w:tc>
        <w:tc>
          <w:tcPr>
            <w:tcW w:w="1296" w:type="dxa"/>
          </w:tcPr>
          <w:p w14:paraId="08F96263">
            <w:pPr>
              <w:pStyle w:val="39"/>
              <w:rPr>
                <w:szCs w:val="18"/>
              </w:rPr>
            </w:pPr>
            <w:r>
              <w:rPr>
                <w:szCs w:val="18"/>
              </w:rPr>
              <w:t>14</w:t>
            </w:r>
          </w:p>
        </w:tc>
      </w:tr>
      <w:tr w14:paraId="5946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538AE17A">
            <w:pPr>
              <w:pStyle w:val="39"/>
              <w:rPr>
                <w:szCs w:val="18"/>
              </w:rPr>
            </w:pPr>
            <w:r>
              <w:rPr>
                <w:szCs w:val="18"/>
              </w:rPr>
              <w:t>nrofDownlinkSymbols</w:t>
            </w:r>
          </w:p>
        </w:tc>
        <w:tc>
          <w:tcPr>
            <w:tcW w:w="1296" w:type="dxa"/>
          </w:tcPr>
          <w:p w14:paraId="11F8F2CB">
            <w:pPr>
              <w:pStyle w:val="39"/>
              <w:rPr>
                <w:szCs w:val="18"/>
              </w:rPr>
            </w:pPr>
            <w:r>
              <w:rPr>
                <w:szCs w:val="18"/>
              </w:rPr>
              <w:t>10</w:t>
            </w:r>
          </w:p>
        </w:tc>
        <w:tc>
          <w:tcPr>
            <w:tcW w:w="1296" w:type="dxa"/>
          </w:tcPr>
          <w:p w14:paraId="168717B0">
            <w:pPr>
              <w:pStyle w:val="39"/>
              <w:rPr>
                <w:szCs w:val="18"/>
              </w:rPr>
            </w:pPr>
            <w:r>
              <w:rPr>
                <w:szCs w:val="18"/>
              </w:rPr>
              <w:t>6</w:t>
            </w:r>
          </w:p>
        </w:tc>
        <w:tc>
          <w:tcPr>
            <w:tcW w:w="1296" w:type="dxa"/>
          </w:tcPr>
          <w:p w14:paraId="57A4686B">
            <w:pPr>
              <w:pStyle w:val="39"/>
              <w:rPr>
                <w:szCs w:val="18"/>
              </w:rPr>
            </w:pPr>
            <w:r>
              <w:rPr>
                <w:szCs w:val="18"/>
              </w:rPr>
              <w:t>12</w:t>
            </w:r>
          </w:p>
        </w:tc>
      </w:tr>
      <w:tr w14:paraId="3330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088868DA">
            <w:pPr>
              <w:pStyle w:val="39"/>
              <w:rPr>
                <w:szCs w:val="18"/>
              </w:rPr>
            </w:pPr>
            <w:r>
              <w:rPr>
                <w:szCs w:val="18"/>
              </w:rPr>
              <w:t>nrofUplinkSlots</w:t>
            </w:r>
          </w:p>
        </w:tc>
        <w:tc>
          <w:tcPr>
            <w:tcW w:w="1296" w:type="dxa"/>
          </w:tcPr>
          <w:p w14:paraId="742B2372">
            <w:pPr>
              <w:pStyle w:val="39"/>
              <w:rPr>
                <w:szCs w:val="18"/>
              </w:rPr>
            </w:pPr>
            <w:r>
              <w:rPr>
                <w:szCs w:val="18"/>
              </w:rPr>
              <w:t>1</w:t>
            </w:r>
          </w:p>
        </w:tc>
        <w:tc>
          <w:tcPr>
            <w:tcW w:w="1296" w:type="dxa"/>
          </w:tcPr>
          <w:p w14:paraId="35FBCBB8">
            <w:pPr>
              <w:pStyle w:val="39"/>
              <w:rPr>
                <w:szCs w:val="18"/>
              </w:rPr>
            </w:pPr>
            <w:r>
              <w:rPr>
                <w:szCs w:val="18"/>
              </w:rPr>
              <w:t>2</w:t>
            </w:r>
          </w:p>
        </w:tc>
        <w:tc>
          <w:tcPr>
            <w:tcW w:w="1296" w:type="dxa"/>
          </w:tcPr>
          <w:p w14:paraId="17C31CB3">
            <w:pPr>
              <w:pStyle w:val="39"/>
              <w:rPr>
                <w:szCs w:val="18"/>
              </w:rPr>
            </w:pPr>
            <w:r>
              <w:rPr>
                <w:szCs w:val="18"/>
              </w:rPr>
              <w:t>4</w:t>
            </w:r>
          </w:p>
        </w:tc>
      </w:tr>
      <w:tr w14:paraId="0F155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70E05224">
            <w:pPr>
              <w:pStyle w:val="39"/>
              <w:rPr>
                <w:szCs w:val="18"/>
              </w:rPr>
            </w:pPr>
            <w:r>
              <w:rPr>
                <w:szCs w:val="18"/>
              </w:rPr>
              <w:t>nrofUplinkSymbols</w:t>
            </w:r>
          </w:p>
        </w:tc>
        <w:tc>
          <w:tcPr>
            <w:tcW w:w="1296" w:type="dxa"/>
          </w:tcPr>
          <w:p w14:paraId="68BC2576">
            <w:pPr>
              <w:pStyle w:val="39"/>
              <w:rPr>
                <w:szCs w:val="18"/>
              </w:rPr>
            </w:pPr>
            <w:r>
              <w:rPr>
                <w:szCs w:val="18"/>
              </w:rPr>
              <w:t>2</w:t>
            </w:r>
          </w:p>
        </w:tc>
        <w:tc>
          <w:tcPr>
            <w:tcW w:w="1296" w:type="dxa"/>
          </w:tcPr>
          <w:p w14:paraId="14F61FC6">
            <w:pPr>
              <w:pStyle w:val="39"/>
              <w:rPr>
                <w:szCs w:val="18"/>
              </w:rPr>
            </w:pPr>
            <w:r>
              <w:rPr>
                <w:szCs w:val="18"/>
              </w:rPr>
              <w:t>4</w:t>
            </w:r>
          </w:p>
        </w:tc>
        <w:tc>
          <w:tcPr>
            <w:tcW w:w="1296" w:type="dxa"/>
          </w:tcPr>
          <w:p w14:paraId="412DA4BA">
            <w:pPr>
              <w:pStyle w:val="39"/>
              <w:rPr>
                <w:szCs w:val="18"/>
              </w:rPr>
            </w:pPr>
            <w:r>
              <w:rPr>
                <w:szCs w:val="18"/>
              </w:rPr>
              <w:t>8</w:t>
            </w:r>
          </w:p>
        </w:tc>
      </w:tr>
    </w:tbl>
    <w:p w14:paraId="2C7CBD85">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p>
    <w:p w14:paraId="2ACE2AD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According to the RAN1/RAN2 signalling configuration, both SBFD time and frequency location would be indicated by SIB information, however from RAN4 specification, only the time domain configuration (e.g. starting slots/symbols, ending slots/symbols) are needed in the specification since frequency domain configuration (e.g. DL/UL sub-band size and location) are up to vendor</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s declaration. In other words, this is not necessary to be specified clearly which is captured in the declaration part instead. </w:t>
      </w:r>
    </w:p>
    <w:p w14:paraId="2D296FC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pPr>
      <w:r>
        <w:drawing>
          <wp:inline distT="0" distB="0" distL="114300" distR="114300">
            <wp:extent cx="6181090" cy="2117725"/>
            <wp:effectExtent l="0" t="0" r="10160" b="158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181090" cy="2117725"/>
                    </a:xfrm>
                    <a:prstGeom prst="rect">
                      <a:avLst/>
                    </a:prstGeom>
                    <a:noFill/>
                    <a:ln>
                      <a:noFill/>
                    </a:ln>
                  </pic:spPr>
                </pic:pic>
              </a:graphicData>
            </a:graphic>
          </wp:inline>
        </w:drawing>
      </w:r>
    </w:p>
    <w:p w14:paraId="4569568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pPr>
    </w:p>
    <w:p w14:paraId="5AB1654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rPr>
          <w:rFonts w:hint="eastAsia" w:cs="Times New Roman"/>
          <w:kern w:val="2"/>
          <w:sz w:val="20"/>
          <w:szCs w:val="20"/>
          <w:lang w:val="en-US" w:eastAsia="zh-CN" w:bidi="ar-SA"/>
        </w:rPr>
      </w:pPr>
      <w:r>
        <w:drawing>
          <wp:inline distT="0" distB="0" distL="114300" distR="114300">
            <wp:extent cx="6181090" cy="3088005"/>
            <wp:effectExtent l="0" t="0" r="10160"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181090" cy="3088005"/>
                    </a:xfrm>
                    <a:prstGeom prst="rect">
                      <a:avLst/>
                    </a:prstGeom>
                    <a:noFill/>
                    <a:ln>
                      <a:noFill/>
                    </a:ln>
                  </pic:spPr>
                </pic:pic>
              </a:graphicData>
            </a:graphic>
          </wp:inline>
        </w:drawing>
      </w:r>
    </w:p>
    <w:p w14:paraId="7ED6438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For the transient period between SBFD and non-SBFD, propose to use the exiting TDD configuration as baseline and configure the additional SBFD time domain configuration and leave the SBFD frequency domain configuration up to the declaration. </w:t>
      </w:r>
    </w:p>
    <w:p w14:paraId="203EEF9B">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transition period between SBFD and non-SBFD symbols, propose to use the exiting test procedure for ON-OFF transition period as starting point and make the necessary modification for it. </w:t>
      </w:r>
    </w:p>
    <w:p w14:paraId="07847EAD">
      <w:pPr>
        <w:pStyle w:val="6"/>
        <w:pageBreakBefore w:val="0"/>
        <w:numPr>
          <w:ilvl w:val="0"/>
          <w:numId w:val="0"/>
        </w:numPr>
        <w:kinsoku/>
        <w:wordWrap/>
        <w:topLinePunct w:val="0"/>
        <w:bidi w:val="0"/>
        <w:snapToGrid/>
        <w:spacing w:before="0" w:after="0" w:line="260" w:lineRule="auto"/>
        <w:ind w:left="864" w:hanging="864"/>
        <w:rPr>
          <w:rFonts w:hint="default" w:eastAsia="宋体"/>
          <w:sz w:val="20"/>
          <w:szCs w:val="20"/>
          <w:lang w:val="en-US" w:eastAsia="zh-CN"/>
        </w:rPr>
      </w:pPr>
      <w:r>
        <w:rPr>
          <w:rFonts w:ascii="Arial" w:hAnsi="Arial" w:cs="Arial"/>
          <w:sz w:val="28"/>
          <w:szCs w:val="28"/>
        </w:rPr>
        <w:t>2.</w:t>
      </w:r>
      <w:r>
        <w:rPr>
          <w:rFonts w:hint="eastAsia" w:cs="Arial"/>
          <w:sz w:val="28"/>
          <w:szCs w:val="28"/>
          <w:lang w:val="en-US" w:eastAsia="zh-CN"/>
        </w:rPr>
        <w:t>2</w:t>
      </w:r>
      <w:r>
        <w:rPr>
          <w:rFonts w:ascii="Arial" w:hAnsi="Arial" w:cs="Arial"/>
          <w:sz w:val="28"/>
          <w:szCs w:val="28"/>
        </w:rPr>
        <w:t>.</w:t>
      </w:r>
      <w:r>
        <w:rPr>
          <w:rFonts w:hint="eastAsia" w:cs="Arial"/>
          <w:sz w:val="28"/>
          <w:szCs w:val="28"/>
          <w:lang w:val="en-US" w:eastAsia="zh-CN"/>
        </w:rPr>
        <w:t xml:space="preserve"> In-channel adjacent subband leakage</w:t>
      </w:r>
    </w:p>
    <w:p w14:paraId="40C133A6">
      <w:pPr>
        <w:pageBreakBefore w:val="0"/>
        <w:kinsoku/>
        <w:wordWrap/>
        <w:topLinePunct w:val="0"/>
        <w:bidi w:val="0"/>
        <w:snapToGrid/>
        <w:spacing w:after="0" w:line="260" w:lineRule="auto"/>
        <w:rPr>
          <w:rFonts w:hint="default"/>
          <w:lang w:val="en-US" w:eastAsia="zh-CN"/>
        </w:rPr>
      </w:pPr>
      <w:r>
        <w:rPr>
          <w:rFonts w:hint="eastAsia"/>
          <w:lang w:val="en-US" w:eastAsia="zh-CN"/>
        </w:rPr>
        <w:t>Since in-channel adjancent sub-band leakage is a new requirement, RAN4 need to discuss the corresponding test model for it. However this requirement should be tested with the same test model for out-band emission requirement just with different measurement frequency range.</w:t>
      </w:r>
    </w:p>
    <w:p w14:paraId="2A6866DD">
      <w:pPr>
        <w:pageBreakBefore w:val="0"/>
        <w:kinsoku/>
        <w:wordWrap/>
        <w:topLinePunct w:val="0"/>
        <w:bidi w:val="0"/>
        <w:snapToGrid/>
        <w:spacing w:after="0" w:line="260" w:lineRule="auto"/>
        <w:rPr>
          <w:rFonts w:hint="default" w:eastAsia="宋体"/>
          <w:lang w:val="en-US" w:eastAsia="zh-CN"/>
        </w:rPr>
      </w:pPr>
      <w:r>
        <w:rPr>
          <w:rFonts w:hint="eastAsia"/>
          <w:lang w:val="en-US" w:eastAsia="zh-CN"/>
        </w:rPr>
        <w:t>For test model for SBFD symbol in the specification, the existing test model in the specificatio</w:t>
      </w:r>
      <w:r>
        <w:rPr>
          <w:rFonts w:hint="eastAsia"/>
          <w:vertAlign w:val="baseline"/>
          <w:lang w:val="en-US" w:eastAsia="zh-CN"/>
        </w:rPr>
        <w:t xml:space="preserve">n is based on the transmission bandwidth configuration of the test signal, however for SBFD symbols, this NRB should be updated as the declared as DL sub-band; </w:t>
      </w:r>
    </w:p>
    <w:p w14:paraId="0A7EAAB9">
      <w:pPr>
        <w:pStyle w:val="48"/>
      </w:pPr>
      <w:bookmarkStart w:id="5" w:name="_Hlk497144372"/>
      <w:r>
        <w:t>Table 4.9.2.2.1-1: Specific physical channel parameters of NR-FR1-TM1.1</w:t>
      </w:r>
    </w:p>
    <w:tbl>
      <w:tblPr>
        <w:tblStyle w:val="26"/>
        <w:tblW w:w="7305" w:type="dxa"/>
        <w:jc w:val="center"/>
        <w:tblLayout w:type="fixed"/>
        <w:tblCellMar>
          <w:top w:w="0" w:type="dxa"/>
          <w:left w:w="108" w:type="dxa"/>
          <w:bottom w:w="0" w:type="dxa"/>
          <w:right w:w="108" w:type="dxa"/>
        </w:tblCellMar>
      </w:tblPr>
      <w:tblGrid>
        <w:gridCol w:w="3760"/>
        <w:gridCol w:w="3545"/>
      </w:tblGrid>
      <w:tr w14:paraId="4557205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86841A4">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45400D9D">
            <w:pPr>
              <w:pStyle w:val="38"/>
              <w:rPr>
                <w:lang w:eastAsia="ko-KR"/>
              </w:rPr>
            </w:pPr>
            <w:r>
              <w:rPr>
                <w:lang w:eastAsia="ko-KR"/>
              </w:rPr>
              <w:t>Value</w:t>
            </w:r>
          </w:p>
        </w:tc>
      </w:tr>
      <w:tr w14:paraId="5C1558D8">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6E60A1F">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21F0BD2">
            <w:pPr>
              <w:pStyle w:val="39"/>
              <w:rPr>
                <w:lang w:eastAsia="ko-KR"/>
              </w:rPr>
            </w:pPr>
            <w:r>
              <w:t>N</w:t>
            </w:r>
            <w:r>
              <w:rPr>
                <w:vertAlign w:val="subscript"/>
              </w:rPr>
              <w:t>RB</w:t>
            </w:r>
            <w:r>
              <w:rPr>
                <w:lang w:eastAsia="ko-KR"/>
              </w:rPr>
              <w:t xml:space="preserve"> - 3</w:t>
            </w:r>
          </w:p>
        </w:tc>
      </w:tr>
      <w:tr w14:paraId="713B60E4">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CCB18A7">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67DBFFF">
            <w:pPr>
              <w:pStyle w:val="39"/>
              <w:rPr>
                <w:sz w:val="20"/>
              </w:rPr>
            </w:pPr>
            <w:r>
              <w:t>QPSK</w:t>
            </w:r>
          </w:p>
        </w:tc>
      </w:tr>
      <w:tr w14:paraId="7423D41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DE9CE03">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D912420">
            <w:pPr>
              <w:pStyle w:val="39"/>
              <w:rPr>
                <w:sz w:val="20"/>
              </w:rPr>
            </w:pPr>
            <w:r>
              <w:t>3</w:t>
            </w:r>
          </w:p>
        </w:tc>
      </w:tr>
      <w:tr w14:paraId="5C3317F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71E23E3">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A536414">
            <w:pPr>
              <w:pStyle w:val="39"/>
            </w:pPr>
            <w:r>
              <w:t>QPSK</w:t>
            </w:r>
          </w:p>
        </w:tc>
      </w:tr>
      <w:tr w14:paraId="68E4C95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B83B844">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740B822">
            <w:pPr>
              <w:pStyle w:val="39"/>
              <w:rPr>
                <w:sz w:val="20"/>
              </w:rPr>
            </w:pPr>
            <w:r>
              <w:t>0</w:t>
            </w:r>
          </w:p>
        </w:tc>
      </w:tr>
      <w:bookmarkEnd w:id="5"/>
    </w:tbl>
    <w:p w14:paraId="5E6CFE4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Observation1:</w:t>
      </w:r>
      <w:r>
        <w:rPr>
          <w:rFonts w:hint="eastAsia"/>
          <w:lang w:val="en-US" w:eastAsia="zh-CN"/>
        </w:rPr>
        <w:t xml:space="preserve"> there are following two ways to define the test model for SBFD symbols:</w:t>
      </w:r>
    </w:p>
    <w:p w14:paraId="700E553B">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1: to replace the legacy </w:t>
      </w:r>
      <w:r>
        <w:t>N</w:t>
      </w:r>
      <w:r>
        <w:rPr>
          <w:vertAlign w:val="subscript"/>
        </w:rPr>
        <w:t>RB</w:t>
      </w:r>
      <w:r>
        <w:rPr>
          <w:rFonts w:hint="eastAsia"/>
          <w:lang w:val="en-US" w:eastAsia="zh-CN"/>
        </w:rPr>
        <w:t xml:space="preserve"> of test signal with the declared PRB number of DL sub-band; </w:t>
      </w:r>
    </w:p>
    <w:p w14:paraId="0828F8BD">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 xml:space="preserve">NOTE: this approach will need the new test model implemented in the baseband to cater for conformance testing of SBFD symbols; </w:t>
      </w:r>
    </w:p>
    <w:p w14:paraId="2D94C8E1">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2: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37804A1E">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NOTE: this approach will allow to reusing the existing test model implemented with blanking frequency range of UL sub-band. This is expected to be easiest upgrade for the conformance testing of SBFD symbols;</w:t>
      </w:r>
    </w:p>
    <w:p w14:paraId="124E3DDD">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lang w:val="en-US" w:eastAsia="zh-CN"/>
        </w:rPr>
      </w:pPr>
      <w:r>
        <w:rPr>
          <w:rFonts w:hint="eastAsia"/>
          <w:b/>
          <w:bCs/>
          <w:lang w:val="en-US" w:eastAsia="zh-CN"/>
        </w:rPr>
        <w:t>Proposal 2</w:t>
      </w:r>
      <w:r>
        <w:rPr>
          <w:rFonts w:hint="eastAsia"/>
          <w:lang w:val="en-US" w:eastAsia="zh-CN"/>
        </w:rPr>
        <w:t xml:space="preserve">:For test model NR-FR1-TM1.1 and NR-FR2-TM1.1 for In-channel adjacent subband leakage,  propose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6588DBB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3:</w:t>
      </w:r>
      <w:r>
        <w:rPr>
          <w:rFonts w:hint="eastAsia"/>
          <w:lang w:val="en-US" w:eastAsia="zh-CN"/>
        </w:rPr>
        <w:t xml:space="preserve"> For test procedure and MU for In-channel adjacent subband leakage, propose to use the test procedure for absolute ACLR limit as baseline and make the necessary modification for it. </w:t>
      </w:r>
    </w:p>
    <w:p w14:paraId="63B963B2">
      <w:pPr>
        <w:pStyle w:val="6"/>
        <w:numPr>
          <w:ilvl w:val="0"/>
          <w:numId w:val="0"/>
        </w:numPr>
        <w:ind w:left="864" w:hanging="864"/>
        <w:rPr>
          <w:szCs w:val="13"/>
          <w:lang w:val="en-US"/>
        </w:rPr>
      </w:pPr>
      <w:r>
        <w:rPr>
          <w:rFonts w:ascii="Arial" w:hAnsi="Arial" w:cs="Arial"/>
          <w:sz w:val="28"/>
          <w:szCs w:val="28"/>
        </w:rPr>
        <w:t>2.</w:t>
      </w:r>
      <w:r>
        <w:rPr>
          <w:rFonts w:hint="eastAsia" w:cs="Arial"/>
          <w:sz w:val="28"/>
          <w:szCs w:val="28"/>
          <w:lang w:val="en-US" w:eastAsia="zh-CN"/>
        </w:rPr>
        <w:t>3</w:t>
      </w:r>
      <w:r>
        <w:rPr>
          <w:rFonts w:ascii="Arial" w:hAnsi="Arial" w:cs="Arial"/>
          <w:sz w:val="28"/>
          <w:szCs w:val="28"/>
        </w:rPr>
        <w:t xml:space="preserve">. </w:t>
      </w:r>
      <w:r>
        <w:rPr>
          <w:rFonts w:hint="eastAsia" w:cs="Arial"/>
          <w:sz w:val="28"/>
          <w:szCs w:val="28"/>
          <w:lang w:val="en-US" w:eastAsia="zh-CN"/>
        </w:rPr>
        <w:t>In-channel adjacent subband blocking</w:t>
      </w:r>
    </w:p>
    <w:p w14:paraId="317CE2CF">
      <w:pPr>
        <w:pageBreakBefore w:val="0"/>
        <w:kinsoku/>
        <w:wordWrap/>
        <w:topLinePunct w:val="0"/>
        <w:bidi w:val="0"/>
        <w:snapToGrid/>
        <w:spacing w:after="0" w:line="260" w:lineRule="auto"/>
        <w:rPr>
          <w:rFonts w:hint="default"/>
          <w:lang w:val="en-US" w:eastAsia="zh-CN"/>
        </w:rPr>
      </w:pPr>
      <w:r>
        <w:rPr>
          <w:rFonts w:hint="eastAsia"/>
          <w:lang w:val="en-US" w:eastAsia="zh-CN"/>
        </w:rPr>
        <w:t xml:space="preserve">In-channel adjacent subband blocking is a new Rx requirement, however this is similar as in-band blocking requirement with slightly different power level and frequency position, therefore we propose to use the existing test procedure for in-band blocking requirement as baseline and make the necessary modification for it.  </w:t>
      </w:r>
    </w:p>
    <w:p w14:paraId="2DE9161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cs="Times New Roman"/>
          <w:kern w:val="2"/>
          <w:sz w:val="20"/>
          <w:szCs w:val="20"/>
          <w:lang w:val="en-US" w:eastAsia="zh-CN" w:bidi="ar-SA"/>
        </w:rPr>
      </w:pPr>
      <w:r>
        <w:rPr>
          <w:rFonts w:hint="eastAsia"/>
          <w:b/>
          <w:bCs/>
          <w:lang w:val="en-US" w:eastAsia="zh-CN"/>
        </w:rPr>
        <w:t>Proposal 4:</w:t>
      </w:r>
      <w:r>
        <w:rPr>
          <w:rFonts w:hint="eastAsia"/>
          <w:lang w:val="en-US" w:eastAsia="zh-CN"/>
        </w:rPr>
        <w:t xml:space="preserve"> For test procedure and MU for In-channel adjacent subband blocking, propose to use the existing test procedure for in-band blocking requirement as baseline and make the necessary modification for it. </w:t>
      </w:r>
    </w:p>
    <w:p w14:paraId="6CC12DA0">
      <w:pPr>
        <w:pStyle w:val="58"/>
        <w:tabs>
          <w:tab w:val="left" w:pos="567"/>
          <w:tab w:val="clear" w:pos="1985"/>
        </w:tabs>
        <w:adjustRightInd w:val="0"/>
        <w:ind w:left="510" w:hanging="510"/>
      </w:pPr>
      <w:r>
        <w:t>Conclusions</w:t>
      </w:r>
    </w:p>
    <w:p w14:paraId="0242142A">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conformance testing</w:t>
      </w:r>
      <w:r>
        <w:rPr>
          <w:rFonts w:hint="eastAsia"/>
        </w:rPr>
        <w:t xml:space="preserve"> for SBFD BS</w:t>
      </w:r>
      <w:r>
        <w:rPr>
          <w:rFonts w:hint="eastAsia"/>
          <w:sz w:val="20"/>
          <w:szCs w:val="20"/>
        </w:rPr>
        <w:t xml:space="preserve"> and proposals/observations are made as following:</w:t>
      </w:r>
    </w:p>
    <w:p w14:paraId="5A43258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For the transient period between SBFD and non-SBFD, propose to use the exiting TDD configuration as baseline and configure the additional SBFD time domain configuration and leave the SBFD frequency domain configuration up to the declaration. </w:t>
      </w:r>
    </w:p>
    <w:p w14:paraId="5F49C67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transition period between SBFD and non-SBFD symbols, propose to use the exiting test procedure for ON-OFF transition period as starting point and make the necessary modification for it. </w:t>
      </w:r>
    </w:p>
    <w:p w14:paraId="6BFCABAA">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Observation1:</w:t>
      </w:r>
      <w:r>
        <w:rPr>
          <w:rFonts w:hint="eastAsia"/>
          <w:lang w:val="en-US" w:eastAsia="zh-CN"/>
        </w:rPr>
        <w:t xml:space="preserve"> there are following two ways to define the test model for SBFD symbols:</w:t>
      </w:r>
    </w:p>
    <w:p w14:paraId="16D01F97">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1: to replace the legacy </w:t>
      </w:r>
      <w:r>
        <w:t>N</w:t>
      </w:r>
      <w:r>
        <w:rPr>
          <w:vertAlign w:val="subscript"/>
        </w:rPr>
        <w:t>RB</w:t>
      </w:r>
      <w:r>
        <w:rPr>
          <w:rFonts w:hint="eastAsia"/>
          <w:lang w:val="en-US" w:eastAsia="zh-CN"/>
        </w:rPr>
        <w:t xml:space="preserve"> of test signal with the declared PRB number of DL sub-band; </w:t>
      </w:r>
    </w:p>
    <w:p w14:paraId="71933A81">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 xml:space="preserve">NOTE: this approach will need the new test model implemented in the baseband to cater for conformance testing of SBFD symbols; </w:t>
      </w:r>
    </w:p>
    <w:p w14:paraId="069F1BA1">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2: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1612EE29">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NOTE: this approach will allow to reusing the existing test model implemented with blanking frequency range of UL sub-band. This is expected to be easiest upgrade for the conformance testing of SBFD symbols;</w:t>
      </w:r>
    </w:p>
    <w:p w14:paraId="2B3D5A6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lang w:val="en-US" w:eastAsia="zh-CN"/>
        </w:rPr>
      </w:pPr>
      <w:r>
        <w:rPr>
          <w:rFonts w:hint="eastAsia"/>
          <w:b/>
          <w:bCs/>
          <w:lang w:val="en-US" w:eastAsia="zh-CN"/>
        </w:rPr>
        <w:t>Proposal 2</w:t>
      </w:r>
      <w:r>
        <w:rPr>
          <w:rFonts w:hint="eastAsia"/>
          <w:lang w:val="en-US" w:eastAsia="zh-CN"/>
        </w:rPr>
        <w:t xml:space="preserve">:For test model NR-FR1-TM1.1 and NR-FR2-TM1.1 for In-channel adjacent subband leakage,  propose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0F410AA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3:</w:t>
      </w:r>
      <w:r>
        <w:rPr>
          <w:rFonts w:hint="eastAsia"/>
          <w:lang w:val="en-US" w:eastAsia="zh-CN"/>
        </w:rPr>
        <w:t xml:space="preserve"> For test procedure and MU for In-channel adjacent subband leakage, propose to use the test requirement for absolute ACLR limit as baseline and make the necessary modification for it. </w:t>
      </w:r>
    </w:p>
    <w:p w14:paraId="349C4E0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eastAsia="宋体"/>
          <w:sz w:val="20"/>
          <w:szCs w:val="20"/>
          <w:lang w:val="en-US" w:eastAsia="zh-CN"/>
        </w:rPr>
      </w:pPr>
      <w:r>
        <w:rPr>
          <w:rFonts w:hint="eastAsia"/>
          <w:b/>
          <w:bCs/>
          <w:lang w:val="en-US" w:eastAsia="zh-CN"/>
        </w:rPr>
        <w:t>Proposal 4:</w:t>
      </w:r>
      <w:r>
        <w:rPr>
          <w:rFonts w:hint="eastAsia"/>
          <w:lang w:val="en-US" w:eastAsia="zh-CN"/>
        </w:rPr>
        <w:t xml:space="preserve"> For test procedure and MU for In-channel adjacent subband blocking, propose to use the existing test procedure for in-band blocking requirement as baseline and make the necessary modification for it. </w:t>
      </w:r>
    </w:p>
    <w:p w14:paraId="4B470D99">
      <w:pPr>
        <w:pStyle w:val="58"/>
        <w:tabs>
          <w:tab w:val="left" w:pos="567"/>
          <w:tab w:val="clear" w:pos="1985"/>
        </w:tabs>
        <w:adjustRightInd w:val="0"/>
        <w:ind w:left="510" w:hanging="510"/>
      </w:pPr>
      <w:r>
        <w:t>References</w:t>
      </w:r>
    </w:p>
    <w:p w14:paraId="234218C2">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1E0389E7">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R4-2512665,Way Forward for [116][306] NR_duplex_evo_General</w:t>
      </w:r>
    </w:p>
    <w:p w14:paraId="60DD7092">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R4-2512680,Way Forward for [116][307] NR_duplex_evo_BSRF</w:t>
      </w: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C7534"/>
    <w:multiLevelType w:val="multilevel"/>
    <w:tmpl w:val="194C75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5C13"/>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5F8"/>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754E5"/>
    <w:rsid w:val="021A2C38"/>
    <w:rsid w:val="021C5147"/>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13416"/>
    <w:rsid w:val="02927A98"/>
    <w:rsid w:val="029342BD"/>
    <w:rsid w:val="029C7D5A"/>
    <w:rsid w:val="029D3139"/>
    <w:rsid w:val="02A12134"/>
    <w:rsid w:val="02A459BA"/>
    <w:rsid w:val="02A45D67"/>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67A3E"/>
    <w:rsid w:val="02F95CD1"/>
    <w:rsid w:val="02FF1F3E"/>
    <w:rsid w:val="030005FD"/>
    <w:rsid w:val="030150CB"/>
    <w:rsid w:val="030313BA"/>
    <w:rsid w:val="03082F4B"/>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5D32"/>
    <w:rsid w:val="03443858"/>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34ED5"/>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760F2"/>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1034CD"/>
    <w:rsid w:val="051F43BC"/>
    <w:rsid w:val="05220527"/>
    <w:rsid w:val="052432F7"/>
    <w:rsid w:val="05280A89"/>
    <w:rsid w:val="052D14A7"/>
    <w:rsid w:val="05312AA2"/>
    <w:rsid w:val="05341DD6"/>
    <w:rsid w:val="05367F8C"/>
    <w:rsid w:val="053C34DE"/>
    <w:rsid w:val="053E1AC2"/>
    <w:rsid w:val="053E4A03"/>
    <w:rsid w:val="053E6829"/>
    <w:rsid w:val="05403ABE"/>
    <w:rsid w:val="05445D91"/>
    <w:rsid w:val="0545651B"/>
    <w:rsid w:val="05504722"/>
    <w:rsid w:val="05564384"/>
    <w:rsid w:val="05583DC1"/>
    <w:rsid w:val="055A77BF"/>
    <w:rsid w:val="055C5DB2"/>
    <w:rsid w:val="055C75CE"/>
    <w:rsid w:val="05631D30"/>
    <w:rsid w:val="0567734E"/>
    <w:rsid w:val="05687505"/>
    <w:rsid w:val="05734531"/>
    <w:rsid w:val="05784E56"/>
    <w:rsid w:val="057C7AAB"/>
    <w:rsid w:val="057F0408"/>
    <w:rsid w:val="05804262"/>
    <w:rsid w:val="05816D10"/>
    <w:rsid w:val="058E6ED4"/>
    <w:rsid w:val="058E71D3"/>
    <w:rsid w:val="0591221D"/>
    <w:rsid w:val="05930F73"/>
    <w:rsid w:val="05940F3F"/>
    <w:rsid w:val="05991C8F"/>
    <w:rsid w:val="059E152E"/>
    <w:rsid w:val="059F1811"/>
    <w:rsid w:val="059F3A06"/>
    <w:rsid w:val="059F69F1"/>
    <w:rsid w:val="05A07D47"/>
    <w:rsid w:val="05A41D22"/>
    <w:rsid w:val="05A706E9"/>
    <w:rsid w:val="05AD341A"/>
    <w:rsid w:val="05B11A20"/>
    <w:rsid w:val="05B173DC"/>
    <w:rsid w:val="05B27D07"/>
    <w:rsid w:val="05B658ED"/>
    <w:rsid w:val="05B709C2"/>
    <w:rsid w:val="05B94895"/>
    <w:rsid w:val="05BC001D"/>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F20A9"/>
    <w:rsid w:val="064001EE"/>
    <w:rsid w:val="06474EFD"/>
    <w:rsid w:val="064767A0"/>
    <w:rsid w:val="06493A8C"/>
    <w:rsid w:val="064A35EA"/>
    <w:rsid w:val="064B521E"/>
    <w:rsid w:val="064C2727"/>
    <w:rsid w:val="065462AA"/>
    <w:rsid w:val="065546FA"/>
    <w:rsid w:val="0656369A"/>
    <w:rsid w:val="065740AF"/>
    <w:rsid w:val="065A56A2"/>
    <w:rsid w:val="0665756F"/>
    <w:rsid w:val="0667442D"/>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D0CE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90504"/>
    <w:rsid w:val="077F531B"/>
    <w:rsid w:val="077F542D"/>
    <w:rsid w:val="077F5D16"/>
    <w:rsid w:val="07817B19"/>
    <w:rsid w:val="07896FC7"/>
    <w:rsid w:val="078B062A"/>
    <w:rsid w:val="07916BE4"/>
    <w:rsid w:val="079233D0"/>
    <w:rsid w:val="079E798A"/>
    <w:rsid w:val="079F6DC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71A24"/>
    <w:rsid w:val="080F4BCD"/>
    <w:rsid w:val="08171593"/>
    <w:rsid w:val="082533EE"/>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7716A2"/>
    <w:rsid w:val="0878022B"/>
    <w:rsid w:val="08780590"/>
    <w:rsid w:val="087E046C"/>
    <w:rsid w:val="08813C88"/>
    <w:rsid w:val="088D794D"/>
    <w:rsid w:val="08942BDF"/>
    <w:rsid w:val="089852F1"/>
    <w:rsid w:val="08990610"/>
    <w:rsid w:val="089B5449"/>
    <w:rsid w:val="089D6B7D"/>
    <w:rsid w:val="08A03B5E"/>
    <w:rsid w:val="08A275F2"/>
    <w:rsid w:val="08B21918"/>
    <w:rsid w:val="08B40442"/>
    <w:rsid w:val="08B94847"/>
    <w:rsid w:val="08BA6A96"/>
    <w:rsid w:val="08C14001"/>
    <w:rsid w:val="08C83275"/>
    <w:rsid w:val="08C91931"/>
    <w:rsid w:val="08CF2EF9"/>
    <w:rsid w:val="08D836B6"/>
    <w:rsid w:val="08D8516E"/>
    <w:rsid w:val="08D964D0"/>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391E"/>
    <w:rsid w:val="09636F12"/>
    <w:rsid w:val="09662B71"/>
    <w:rsid w:val="096913F9"/>
    <w:rsid w:val="096B649C"/>
    <w:rsid w:val="096D7093"/>
    <w:rsid w:val="096F18AA"/>
    <w:rsid w:val="096F1D52"/>
    <w:rsid w:val="09713F26"/>
    <w:rsid w:val="0972140E"/>
    <w:rsid w:val="097554F6"/>
    <w:rsid w:val="097862A6"/>
    <w:rsid w:val="09796C44"/>
    <w:rsid w:val="097E56C1"/>
    <w:rsid w:val="098344BC"/>
    <w:rsid w:val="09846B33"/>
    <w:rsid w:val="098662B9"/>
    <w:rsid w:val="098A1B59"/>
    <w:rsid w:val="098D22CE"/>
    <w:rsid w:val="09902C37"/>
    <w:rsid w:val="09951829"/>
    <w:rsid w:val="09957BB0"/>
    <w:rsid w:val="09972599"/>
    <w:rsid w:val="099D065B"/>
    <w:rsid w:val="099D22A1"/>
    <w:rsid w:val="09A545D9"/>
    <w:rsid w:val="09A64698"/>
    <w:rsid w:val="09A9204A"/>
    <w:rsid w:val="09AC5074"/>
    <w:rsid w:val="09AD07F3"/>
    <w:rsid w:val="09B01344"/>
    <w:rsid w:val="09B14A34"/>
    <w:rsid w:val="09B67577"/>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935EE"/>
    <w:rsid w:val="0A014251"/>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D21CB"/>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F054D"/>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50"/>
    <w:rsid w:val="0B892782"/>
    <w:rsid w:val="0B936E39"/>
    <w:rsid w:val="0B9538BE"/>
    <w:rsid w:val="0B9B4AEA"/>
    <w:rsid w:val="0B9C0905"/>
    <w:rsid w:val="0B9E13B0"/>
    <w:rsid w:val="0BA50427"/>
    <w:rsid w:val="0BA935EB"/>
    <w:rsid w:val="0BAA0B6D"/>
    <w:rsid w:val="0BB02C8B"/>
    <w:rsid w:val="0BB1107C"/>
    <w:rsid w:val="0BB2460A"/>
    <w:rsid w:val="0BB41A6B"/>
    <w:rsid w:val="0BB41CFB"/>
    <w:rsid w:val="0BB53F3C"/>
    <w:rsid w:val="0BBC2E35"/>
    <w:rsid w:val="0BBD27CF"/>
    <w:rsid w:val="0BC00376"/>
    <w:rsid w:val="0BC739F0"/>
    <w:rsid w:val="0BCA5242"/>
    <w:rsid w:val="0BCE414C"/>
    <w:rsid w:val="0BD21910"/>
    <w:rsid w:val="0BDA3782"/>
    <w:rsid w:val="0BDB5584"/>
    <w:rsid w:val="0BE0026A"/>
    <w:rsid w:val="0BE03DAA"/>
    <w:rsid w:val="0BE17727"/>
    <w:rsid w:val="0BEC55E4"/>
    <w:rsid w:val="0BF427F9"/>
    <w:rsid w:val="0BF614B9"/>
    <w:rsid w:val="0C0A7D34"/>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A5AEA"/>
    <w:rsid w:val="0CBB5A0F"/>
    <w:rsid w:val="0CC71781"/>
    <w:rsid w:val="0CCD3B1C"/>
    <w:rsid w:val="0CCE2381"/>
    <w:rsid w:val="0CD648E3"/>
    <w:rsid w:val="0CE245F1"/>
    <w:rsid w:val="0CE2480D"/>
    <w:rsid w:val="0CE33A19"/>
    <w:rsid w:val="0CE4001E"/>
    <w:rsid w:val="0CE95B9C"/>
    <w:rsid w:val="0CF5634C"/>
    <w:rsid w:val="0D0213CD"/>
    <w:rsid w:val="0D04575D"/>
    <w:rsid w:val="0D0612B8"/>
    <w:rsid w:val="0D066A9C"/>
    <w:rsid w:val="0D0714BC"/>
    <w:rsid w:val="0D076826"/>
    <w:rsid w:val="0D0A1D55"/>
    <w:rsid w:val="0D0C08C0"/>
    <w:rsid w:val="0D0F2DCE"/>
    <w:rsid w:val="0D136EF9"/>
    <w:rsid w:val="0D1A4FF7"/>
    <w:rsid w:val="0D1A52C8"/>
    <w:rsid w:val="0D1C1D16"/>
    <w:rsid w:val="0D21615D"/>
    <w:rsid w:val="0D2454BF"/>
    <w:rsid w:val="0D261DF7"/>
    <w:rsid w:val="0D2767B5"/>
    <w:rsid w:val="0D3E327E"/>
    <w:rsid w:val="0D3E50C9"/>
    <w:rsid w:val="0D413EA6"/>
    <w:rsid w:val="0D432A3E"/>
    <w:rsid w:val="0D480AA9"/>
    <w:rsid w:val="0D4C0445"/>
    <w:rsid w:val="0D4D56D6"/>
    <w:rsid w:val="0D5800C7"/>
    <w:rsid w:val="0D5B6E86"/>
    <w:rsid w:val="0D604B9B"/>
    <w:rsid w:val="0D63712E"/>
    <w:rsid w:val="0D647BCA"/>
    <w:rsid w:val="0D6A353C"/>
    <w:rsid w:val="0D6D5D30"/>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12675"/>
    <w:rsid w:val="0DC80C38"/>
    <w:rsid w:val="0DCE36F3"/>
    <w:rsid w:val="0DCF7F93"/>
    <w:rsid w:val="0DD611B6"/>
    <w:rsid w:val="0DD621E4"/>
    <w:rsid w:val="0DD65208"/>
    <w:rsid w:val="0DD933E8"/>
    <w:rsid w:val="0DDC300B"/>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5A04BE"/>
    <w:rsid w:val="0E5E2B07"/>
    <w:rsid w:val="0E5F55B1"/>
    <w:rsid w:val="0E6A0F47"/>
    <w:rsid w:val="0E6A1721"/>
    <w:rsid w:val="0E6D0107"/>
    <w:rsid w:val="0E7454FD"/>
    <w:rsid w:val="0E752596"/>
    <w:rsid w:val="0E771E51"/>
    <w:rsid w:val="0E796EA0"/>
    <w:rsid w:val="0E7A2A61"/>
    <w:rsid w:val="0E7C0762"/>
    <w:rsid w:val="0E8118C0"/>
    <w:rsid w:val="0E8164AD"/>
    <w:rsid w:val="0E894FFB"/>
    <w:rsid w:val="0E9A17E3"/>
    <w:rsid w:val="0EA11114"/>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05E5F"/>
    <w:rsid w:val="0F282982"/>
    <w:rsid w:val="0F2D7701"/>
    <w:rsid w:val="0F32645C"/>
    <w:rsid w:val="0F3452E0"/>
    <w:rsid w:val="0F353E28"/>
    <w:rsid w:val="0F362C24"/>
    <w:rsid w:val="0F364BC2"/>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17E25"/>
    <w:rsid w:val="0F9A3D44"/>
    <w:rsid w:val="0FA11695"/>
    <w:rsid w:val="0FA26E81"/>
    <w:rsid w:val="0FA615E1"/>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95E10"/>
    <w:rsid w:val="0FEA3F98"/>
    <w:rsid w:val="0FEB0378"/>
    <w:rsid w:val="0FEC322B"/>
    <w:rsid w:val="0FEC6EF6"/>
    <w:rsid w:val="0FF3288D"/>
    <w:rsid w:val="0FF42F34"/>
    <w:rsid w:val="10036C5E"/>
    <w:rsid w:val="10045EE6"/>
    <w:rsid w:val="100476BF"/>
    <w:rsid w:val="10067FAB"/>
    <w:rsid w:val="10071FE5"/>
    <w:rsid w:val="100B49CF"/>
    <w:rsid w:val="100C1580"/>
    <w:rsid w:val="100D3B17"/>
    <w:rsid w:val="10145447"/>
    <w:rsid w:val="10154FE6"/>
    <w:rsid w:val="10193ECA"/>
    <w:rsid w:val="101C3CD5"/>
    <w:rsid w:val="101F0E02"/>
    <w:rsid w:val="10201287"/>
    <w:rsid w:val="1023666E"/>
    <w:rsid w:val="1024103C"/>
    <w:rsid w:val="102869DB"/>
    <w:rsid w:val="102B2027"/>
    <w:rsid w:val="1031492B"/>
    <w:rsid w:val="1035409F"/>
    <w:rsid w:val="1035503C"/>
    <w:rsid w:val="10357C75"/>
    <w:rsid w:val="1037078D"/>
    <w:rsid w:val="103806C3"/>
    <w:rsid w:val="103A7991"/>
    <w:rsid w:val="103F5AB4"/>
    <w:rsid w:val="104052A4"/>
    <w:rsid w:val="10413A4E"/>
    <w:rsid w:val="10462479"/>
    <w:rsid w:val="104710A5"/>
    <w:rsid w:val="104830A2"/>
    <w:rsid w:val="10484987"/>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73F5D"/>
    <w:rsid w:val="10DF786B"/>
    <w:rsid w:val="10EC75B1"/>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30F50"/>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55A81"/>
    <w:rsid w:val="125A02CC"/>
    <w:rsid w:val="125A6BF4"/>
    <w:rsid w:val="12612BA4"/>
    <w:rsid w:val="126405F6"/>
    <w:rsid w:val="12653D4F"/>
    <w:rsid w:val="1265625F"/>
    <w:rsid w:val="127222F3"/>
    <w:rsid w:val="12727CAE"/>
    <w:rsid w:val="127B4D28"/>
    <w:rsid w:val="127D422E"/>
    <w:rsid w:val="1283614B"/>
    <w:rsid w:val="12845278"/>
    <w:rsid w:val="12863AEA"/>
    <w:rsid w:val="128B4FFF"/>
    <w:rsid w:val="128B7C40"/>
    <w:rsid w:val="128C036A"/>
    <w:rsid w:val="128E70AD"/>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666D9"/>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3A4F2F"/>
    <w:rsid w:val="144442DA"/>
    <w:rsid w:val="144C6544"/>
    <w:rsid w:val="144E4536"/>
    <w:rsid w:val="144F7DD8"/>
    <w:rsid w:val="14547289"/>
    <w:rsid w:val="14556F31"/>
    <w:rsid w:val="14601A0D"/>
    <w:rsid w:val="14667AD2"/>
    <w:rsid w:val="14697AC5"/>
    <w:rsid w:val="147538F3"/>
    <w:rsid w:val="147544B0"/>
    <w:rsid w:val="14794C74"/>
    <w:rsid w:val="147E7784"/>
    <w:rsid w:val="14812D74"/>
    <w:rsid w:val="14836C15"/>
    <w:rsid w:val="14862300"/>
    <w:rsid w:val="14863CD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1E215B"/>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4474D"/>
    <w:rsid w:val="15D7597F"/>
    <w:rsid w:val="15E32BB5"/>
    <w:rsid w:val="15E72E94"/>
    <w:rsid w:val="15F45B34"/>
    <w:rsid w:val="15F53F0F"/>
    <w:rsid w:val="16014FE2"/>
    <w:rsid w:val="160A3803"/>
    <w:rsid w:val="160C437B"/>
    <w:rsid w:val="161033BE"/>
    <w:rsid w:val="16147F08"/>
    <w:rsid w:val="16160429"/>
    <w:rsid w:val="161C3234"/>
    <w:rsid w:val="1628191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8119E9"/>
    <w:rsid w:val="16853FE3"/>
    <w:rsid w:val="1689381A"/>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3E74D9"/>
    <w:rsid w:val="17425826"/>
    <w:rsid w:val="174A2BD1"/>
    <w:rsid w:val="174D3983"/>
    <w:rsid w:val="17595246"/>
    <w:rsid w:val="175E4288"/>
    <w:rsid w:val="175F6489"/>
    <w:rsid w:val="17650A34"/>
    <w:rsid w:val="17652ACF"/>
    <w:rsid w:val="176C704A"/>
    <w:rsid w:val="176E2C4A"/>
    <w:rsid w:val="177653C5"/>
    <w:rsid w:val="17781A92"/>
    <w:rsid w:val="1781705C"/>
    <w:rsid w:val="17844C56"/>
    <w:rsid w:val="178D23B1"/>
    <w:rsid w:val="179559A6"/>
    <w:rsid w:val="17957384"/>
    <w:rsid w:val="17A30F12"/>
    <w:rsid w:val="17A728DB"/>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5D2F9A"/>
    <w:rsid w:val="18633981"/>
    <w:rsid w:val="18674D45"/>
    <w:rsid w:val="186B15D6"/>
    <w:rsid w:val="186C1DBE"/>
    <w:rsid w:val="186C5153"/>
    <w:rsid w:val="186E738D"/>
    <w:rsid w:val="186F36A8"/>
    <w:rsid w:val="186F555C"/>
    <w:rsid w:val="187640ED"/>
    <w:rsid w:val="187B091F"/>
    <w:rsid w:val="18804AA7"/>
    <w:rsid w:val="18850ACD"/>
    <w:rsid w:val="188C347D"/>
    <w:rsid w:val="188C4F53"/>
    <w:rsid w:val="18A16B9A"/>
    <w:rsid w:val="18A5427C"/>
    <w:rsid w:val="18A94FC3"/>
    <w:rsid w:val="18AB1905"/>
    <w:rsid w:val="18AC724D"/>
    <w:rsid w:val="18AF5199"/>
    <w:rsid w:val="18AF7C5B"/>
    <w:rsid w:val="18B1630C"/>
    <w:rsid w:val="18B417E1"/>
    <w:rsid w:val="18B61C67"/>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467ED"/>
    <w:rsid w:val="197557A0"/>
    <w:rsid w:val="19764535"/>
    <w:rsid w:val="198374F4"/>
    <w:rsid w:val="1989194D"/>
    <w:rsid w:val="19894C83"/>
    <w:rsid w:val="198C5D06"/>
    <w:rsid w:val="19A41C92"/>
    <w:rsid w:val="19A7296F"/>
    <w:rsid w:val="19A83029"/>
    <w:rsid w:val="19AF232D"/>
    <w:rsid w:val="19B94DE5"/>
    <w:rsid w:val="19BB7983"/>
    <w:rsid w:val="19C21571"/>
    <w:rsid w:val="19CA4702"/>
    <w:rsid w:val="19D01D27"/>
    <w:rsid w:val="19D76F77"/>
    <w:rsid w:val="19D92AF4"/>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93593"/>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44EB0"/>
    <w:rsid w:val="1AB02AE4"/>
    <w:rsid w:val="1AB359A1"/>
    <w:rsid w:val="1ABD31B9"/>
    <w:rsid w:val="1ABF3A95"/>
    <w:rsid w:val="1AC20F7A"/>
    <w:rsid w:val="1AC91D4C"/>
    <w:rsid w:val="1ACE2A77"/>
    <w:rsid w:val="1ACE6E77"/>
    <w:rsid w:val="1AD0289F"/>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092A"/>
    <w:rsid w:val="1B3462E9"/>
    <w:rsid w:val="1B372EB9"/>
    <w:rsid w:val="1B39636C"/>
    <w:rsid w:val="1B3C488F"/>
    <w:rsid w:val="1B40005E"/>
    <w:rsid w:val="1B4268B4"/>
    <w:rsid w:val="1B427936"/>
    <w:rsid w:val="1B593EEC"/>
    <w:rsid w:val="1B5D3106"/>
    <w:rsid w:val="1B73181B"/>
    <w:rsid w:val="1B7906CE"/>
    <w:rsid w:val="1B79465F"/>
    <w:rsid w:val="1B7C36C0"/>
    <w:rsid w:val="1B7D07F3"/>
    <w:rsid w:val="1B831B2B"/>
    <w:rsid w:val="1B853A57"/>
    <w:rsid w:val="1B9219EE"/>
    <w:rsid w:val="1B9307F8"/>
    <w:rsid w:val="1B944685"/>
    <w:rsid w:val="1B945678"/>
    <w:rsid w:val="1B9B3AD0"/>
    <w:rsid w:val="1B9B451C"/>
    <w:rsid w:val="1BA258AE"/>
    <w:rsid w:val="1BA57F07"/>
    <w:rsid w:val="1BAA3905"/>
    <w:rsid w:val="1BB01F6E"/>
    <w:rsid w:val="1BB81DD8"/>
    <w:rsid w:val="1BB848C7"/>
    <w:rsid w:val="1BB86F3A"/>
    <w:rsid w:val="1BC85001"/>
    <w:rsid w:val="1BCA7505"/>
    <w:rsid w:val="1BCC1842"/>
    <w:rsid w:val="1BD25F39"/>
    <w:rsid w:val="1BD417C5"/>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D6F11"/>
    <w:rsid w:val="1C5E3742"/>
    <w:rsid w:val="1C5F23B1"/>
    <w:rsid w:val="1C67631F"/>
    <w:rsid w:val="1C6B3493"/>
    <w:rsid w:val="1C6C66B2"/>
    <w:rsid w:val="1C6D07BF"/>
    <w:rsid w:val="1C6D4144"/>
    <w:rsid w:val="1C71170A"/>
    <w:rsid w:val="1C726EC3"/>
    <w:rsid w:val="1C752FA8"/>
    <w:rsid w:val="1C793EB9"/>
    <w:rsid w:val="1C7A236C"/>
    <w:rsid w:val="1C7B65E1"/>
    <w:rsid w:val="1C7D3C04"/>
    <w:rsid w:val="1C807142"/>
    <w:rsid w:val="1C90266F"/>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1442D"/>
    <w:rsid w:val="1DA265B5"/>
    <w:rsid w:val="1DAF4298"/>
    <w:rsid w:val="1DB26ED0"/>
    <w:rsid w:val="1DB61742"/>
    <w:rsid w:val="1DB835A9"/>
    <w:rsid w:val="1DC254A8"/>
    <w:rsid w:val="1DC603E1"/>
    <w:rsid w:val="1DD85EF7"/>
    <w:rsid w:val="1DEC45ED"/>
    <w:rsid w:val="1DF0663B"/>
    <w:rsid w:val="1DF2745E"/>
    <w:rsid w:val="1DF6398A"/>
    <w:rsid w:val="1DF71982"/>
    <w:rsid w:val="1DF8498F"/>
    <w:rsid w:val="1DFA17C3"/>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6703B7"/>
    <w:rsid w:val="1E680B85"/>
    <w:rsid w:val="1E6B2336"/>
    <w:rsid w:val="1E6D35EE"/>
    <w:rsid w:val="1E712925"/>
    <w:rsid w:val="1E7845CD"/>
    <w:rsid w:val="1E8028A0"/>
    <w:rsid w:val="1E8261B5"/>
    <w:rsid w:val="1E876FC3"/>
    <w:rsid w:val="1E8A5FA4"/>
    <w:rsid w:val="1E8A7B98"/>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65854"/>
    <w:rsid w:val="1ED874EC"/>
    <w:rsid w:val="1ED94E25"/>
    <w:rsid w:val="1EDB6C5F"/>
    <w:rsid w:val="1EDC730E"/>
    <w:rsid w:val="1EE0071E"/>
    <w:rsid w:val="1EE06780"/>
    <w:rsid w:val="1EE36B24"/>
    <w:rsid w:val="1EE4433F"/>
    <w:rsid w:val="1EE6740D"/>
    <w:rsid w:val="1EEB0FF0"/>
    <w:rsid w:val="1EEC1621"/>
    <w:rsid w:val="1EED7A29"/>
    <w:rsid w:val="1F0D14F3"/>
    <w:rsid w:val="1F0E3B92"/>
    <w:rsid w:val="1F120D07"/>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0692"/>
    <w:rsid w:val="1F6B6906"/>
    <w:rsid w:val="1F7959F4"/>
    <w:rsid w:val="1F7A2683"/>
    <w:rsid w:val="1F7C19E4"/>
    <w:rsid w:val="1F7F5EEC"/>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30F6D"/>
    <w:rsid w:val="20263D53"/>
    <w:rsid w:val="20275ED1"/>
    <w:rsid w:val="2038262B"/>
    <w:rsid w:val="203B1416"/>
    <w:rsid w:val="203C2005"/>
    <w:rsid w:val="203E7B55"/>
    <w:rsid w:val="20420995"/>
    <w:rsid w:val="20447B3E"/>
    <w:rsid w:val="204619A3"/>
    <w:rsid w:val="20463A2C"/>
    <w:rsid w:val="20486142"/>
    <w:rsid w:val="204D7AED"/>
    <w:rsid w:val="204E2A57"/>
    <w:rsid w:val="204F595B"/>
    <w:rsid w:val="20532924"/>
    <w:rsid w:val="205A627C"/>
    <w:rsid w:val="205B4263"/>
    <w:rsid w:val="206301A7"/>
    <w:rsid w:val="20642E89"/>
    <w:rsid w:val="2067334B"/>
    <w:rsid w:val="206F7CD5"/>
    <w:rsid w:val="207778B9"/>
    <w:rsid w:val="207E34E5"/>
    <w:rsid w:val="20850EC1"/>
    <w:rsid w:val="20903577"/>
    <w:rsid w:val="20911227"/>
    <w:rsid w:val="20934FE0"/>
    <w:rsid w:val="20937EA1"/>
    <w:rsid w:val="209511C3"/>
    <w:rsid w:val="209A17A4"/>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9348D"/>
    <w:rsid w:val="20EA208F"/>
    <w:rsid w:val="20EB3474"/>
    <w:rsid w:val="20EF451E"/>
    <w:rsid w:val="20F052F3"/>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313DE"/>
    <w:rsid w:val="2157712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0B3A67"/>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31AF5"/>
    <w:rsid w:val="226650A3"/>
    <w:rsid w:val="22680B07"/>
    <w:rsid w:val="22681A0E"/>
    <w:rsid w:val="226A2E83"/>
    <w:rsid w:val="226E20BA"/>
    <w:rsid w:val="22713317"/>
    <w:rsid w:val="2274785E"/>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40371"/>
    <w:rsid w:val="23C62FD3"/>
    <w:rsid w:val="23C80F4A"/>
    <w:rsid w:val="23C8373E"/>
    <w:rsid w:val="23CA1E9A"/>
    <w:rsid w:val="23CD5478"/>
    <w:rsid w:val="23CE5D21"/>
    <w:rsid w:val="23D160BB"/>
    <w:rsid w:val="23D2612A"/>
    <w:rsid w:val="23D33566"/>
    <w:rsid w:val="23D53925"/>
    <w:rsid w:val="23D9762E"/>
    <w:rsid w:val="23DF2C6B"/>
    <w:rsid w:val="23E173A1"/>
    <w:rsid w:val="23E3610D"/>
    <w:rsid w:val="23E52298"/>
    <w:rsid w:val="23E629DD"/>
    <w:rsid w:val="23E94462"/>
    <w:rsid w:val="23EE53EE"/>
    <w:rsid w:val="23F06611"/>
    <w:rsid w:val="2407047B"/>
    <w:rsid w:val="24090775"/>
    <w:rsid w:val="240A6080"/>
    <w:rsid w:val="240E5D2B"/>
    <w:rsid w:val="240E783E"/>
    <w:rsid w:val="24137B5B"/>
    <w:rsid w:val="24176341"/>
    <w:rsid w:val="24194B93"/>
    <w:rsid w:val="241A61E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6767A"/>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EA2059"/>
    <w:rsid w:val="24F133E8"/>
    <w:rsid w:val="24F17428"/>
    <w:rsid w:val="24F24750"/>
    <w:rsid w:val="250253B9"/>
    <w:rsid w:val="250C5C6A"/>
    <w:rsid w:val="251175E6"/>
    <w:rsid w:val="25165BAC"/>
    <w:rsid w:val="2517098B"/>
    <w:rsid w:val="25176627"/>
    <w:rsid w:val="251E0656"/>
    <w:rsid w:val="252053F9"/>
    <w:rsid w:val="252217F3"/>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65C73"/>
    <w:rsid w:val="25C87522"/>
    <w:rsid w:val="25C97301"/>
    <w:rsid w:val="25CB3C39"/>
    <w:rsid w:val="25CC4C1C"/>
    <w:rsid w:val="25CD7961"/>
    <w:rsid w:val="25D33C43"/>
    <w:rsid w:val="25D64403"/>
    <w:rsid w:val="25D845A8"/>
    <w:rsid w:val="25DC0E91"/>
    <w:rsid w:val="25E32F35"/>
    <w:rsid w:val="25EB7CD4"/>
    <w:rsid w:val="25EF7238"/>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1E423C"/>
    <w:rsid w:val="27222699"/>
    <w:rsid w:val="27240467"/>
    <w:rsid w:val="272555CB"/>
    <w:rsid w:val="27262E16"/>
    <w:rsid w:val="272A3F42"/>
    <w:rsid w:val="273216D6"/>
    <w:rsid w:val="273666A6"/>
    <w:rsid w:val="273A203F"/>
    <w:rsid w:val="273B094A"/>
    <w:rsid w:val="273D1CBA"/>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87332"/>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E9484A"/>
    <w:rsid w:val="27F20EFC"/>
    <w:rsid w:val="27F670F6"/>
    <w:rsid w:val="27FB11A8"/>
    <w:rsid w:val="27FE4240"/>
    <w:rsid w:val="27FF2D7D"/>
    <w:rsid w:val="280008FF"/>
    <w:rsid w:val="28050D91"/>
    <w:rsid w:val="280A73A7"/>
    <w:rsid w:val="280B0292"/>
    <w:rsid w:val="281035C6"/>
    <w:rsid w:val="28140E2A"/>
    <w:rsid w:val="281F2450"/>
    <w:rsid w:val="2824417F"/>
    <w:rsid w:val="28244A33"/>
    <w:rsid w:val="28255041"/>
    <w:rsid w:val="282B1213"/>
    <w:rsid w:val="28377F14"/>
    <w:rsid w:val="283832F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742A6"/>
    <w:rsid w:val="289C154A"/>
    <w:rsid w:val="289E1720"/>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ED5E2B"/>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5C3A17"/>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A4AED"/>
    <w:rsid w:val="29FD3742"/>
    <w:rsid w:val="2A06427E"/>
    <w:rsid w:val="2A0F1A72"/>
    <w:rsid w:val="2A0F7591"/>
    <w:rsid w:val="2A10104D"/>
    <w:rsid w:val="2A13176E"/>
    <w:rsid w:val="2A1723D3"/>
    <w:rsid w:val="2A196A56"/>
    <w:rsid w:val="2A1C361A"/>
    <w:rsid w:val="2A216713"/>
    <w:rsid w:val="2A220953"/>
    <w:rsid w:val="2A222BC6"/>
    <w:rsid w:val="2A2F350E"/>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D482E"/>
    <w:rsid w:val="2AF12CDF"/>
    <w:rsid w:val="2AF27DCB"/>
    <w:rsid w:val="2AF92B4F"/>
    <w:rsid w:val="2AFC24E6"/>
    <w:rsid w:val="2B0726A6"/>
    <w:rsid w:val="2B090320"/>
    <w:rsid w:val="2B0C6B23"/>
    <w:rsid w:val="2B19210F"/>
    <w:rsid w:val="2B1C0A93"/>
    <w:rsid w:val="2B1D6F4B"/>
    <w:rsid w:val="2B2628D4"/>
    <w:rsid w:val="2B2B5653"/>
    <w:rsid w:val="2B2D1363"/>
    <w:rsid w:val="2B306C2A"/>
    <w:rsid w:val="2B335E16"/>
    <w:rsid w:val="2B3429F1"/>
    <w:rsid w:val="2B365F16"/>
    <w:rsid w:val="2B3A1DF7"/>
    <w:rsid w:val="2B3B716B"/>
    <w:rsid w:val="2B3B71ED"/>
    <w:rsid w:val="2B42025A"/>
    <w:rsid w:val="2B450516"/>
    <w:rsid w:val="2B4526E2"/>
    <w:rsid w:val="2B4722C4"/>
    <w:rsid w:val="2B4C75CA"/>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306E"/>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90555"/>
    <w:rsid w:val="2D677800"/>
    <w:rsid w:val="2D726428"/>
    <w:rsid w:val="2D7626DC"/>
    <w:rsid w:val="2D770975"/>
    <w:rsid w:val="2D7A06F1"/>
    <w:rsid w:val="2D8151A4"/>
    <w:rsid w:val="2D9D235F"/>
    <w:rsid w:val="2DA02E9C"/>
    <w:rsid w:val="2DA43D8C"/>
    <w:rsid w:val="2DAC4521"/>
    <w:rsid w:val="2DBB1852"/>
    <w:rsid w:val="2DBE22D5"/>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1F0FC6"/>
    <w:rsid w:val="2E2630D7"/>
    <w:rsid w:val="2E2806DD"/>
    <w:rsid w:val="2E2A4425"/>
    <w:rsid w:val="2E2F3046"/>
    <w:rsid w:val="2E302808"/>
    <w:rsid w:val="2E374561"/>
    <w:rsid w:val="2E3A3030"/>
    <w:rsid w:val="2E3C084B"/>
    <w:rsid w:val="2E3F3416"/>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0D7070"/>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26AE0"/>
    <w:rsid w:val="2F5741FD"/>
    <w:rsid w:val="2F57587A"/>
    <w:rsid w:val="2F59227E"/>
    <w:rsid w:val="2F5922B5"/>
    <w:rsid w:val="2F5E1A24"/>
    <w:rsid w:val="2F615954"/>
    <w:rsid w:val="2F6324D7"/>
    <w:rsid w:val="2F68699C"/>
    <w:rsid w:val="2F707B32"/>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F558E"/>
    <w:rsid w:val="306B4848"/>
    <w:rsid w:val="306D73EE"/>
    <w:rsid w:val="30752E77"/>
    <w:rsid w:val="308018A6"/>
    <w:rsid w:val="30804E19"/>
    <w:rsid w:val="3090288F"/>
    <w:rsid w:val="309B0CFB"/>
    <w:rsid w:val="309B2EEC"/>
    <w:rsid w:val="309E4272"/>
    <w:rsid w:val="30A12956"/>
    <w:rsid w:val="30A9101A"/>
    <w:rsid w:val="30AE56DC"/>
    <w:rsid w:val="30B7307E"/>
    <w:rsid w:val="30BB5407"/>
    <w:rsid w:val="30BF034E"/>
    <w:rsid w:val="30C21A0E"/>
    <w:rsid w:val="30C26424"/>
    <w:rsid w:val="30C3032E"/>
    <w:rsid w:val="30C65287"/>
    <w:rsid w:val="30C76E98"/>
    <w:rsid w:val="30C83BAA"/>
    <w:rsid w:val="30CA3D76"/>
    <w:rsid w:val="30D065A7"/>
    <w:rsid w:val="30D616E4"/>
    <w:rsid w:val="30DC45E8"/>
    <w:rsid w:val="30DC4F4C"/>
    <w:rsid w:val="30DD6027"/>
    <w:rsid w:val="30DE16AB"/>
    <w:rsid w:val="30E1221A"/>
    <w:rsid w:val="30E734EF"/>
    <w:rsid w:val="30F24AB3"/>
    <w:rsid w:val="30F44A95"/>
    <w:rsid w:val="30F77A98"/>
    <w:rsid w:val="30FA21D8"/>
    <w:rsid w:val="30FC2A23"/>
    <w:rsid w:val="31154308"/>
    <w:rsid w:val="31197ABC"/>
    <w:rsid w:val="311D5B14"/>
    <w:rsid w:val="312723F9"/>
    <w:rsid w:val="312A215B"/>
    <w:rsid w:val="312A3EA4"/>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E22A36"/>
    <w:rsid w:val="31E302B9"/>
    <w:rsid w:val="31E83A8A"/>
    <w:rsid w:val="31EE4B36"/>
    <w:rsid w:val="31F20023"/>
    <w:rsid w:val="31F31FF7"/>
    <w:rsid w:val="31F52FE4"/>
    <w:rsid w:val="31F536F7"/>
    <w:rsid w:val="31FA7AEE"/>
    <w:rsid w:val="31FB60C5"/>
    <w:rsid w:val="3209100C"/>
    <w:rsid w:val="320D52C8"/>
    <w:rsid w:val="320F4EAD"/>
    <w:rsid w:val="32117981"/>
    <w:rsid w:val="32126FFE"/>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EA59A0"/>
    <w:rsid w:val="32F76D5D"/>
    <w:rsid w:val="32F86450"/>
    <w:rsid w:val="330066D7"/>
    <w:rsid w:val="33015240"/>
    <w:rsid w:val="330244A4"/>
    <w:rsid w:val="3304026E"/>
    <w:rsid w:val="330501EB"/>
    <w:rsid w:val="33066388"/>
    <w:rsid w:val="330F1E44"/>
    <w:rsid w:val="3312384B"/>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CE6079"/>
    <w:rsid w:val="33D03282"/>
    <w:rsid w:val="33D31CFB"/>
    <w:rsid w:val="33D41C06"/>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F540F"/>
    <w:rsid w:val="34863322"/>
    <w:rsid w:val="34885DB3"/>
    <w:rsid w:val="348F0ED3"/>
    <w:rsid w:val="348F7A0E"/>
    <w:rsid w:val="34943D90"/>
    <w:rsid w:val="34975090"/>
    <w:rsid w:val="349A0B7D"/>
    <w:rsid w:val="349B2A17"/>
    <w:rsid w:val="349D2C44"/>
    <w:rsid w:val="349E28F5"/>
    <w:rsid w:val="34A35D81"/>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A7182"/>
    <w:rsid w:val="34DB0CAC"/>
    <w:rsid w:val="34DD3DF9"/>
    <w:rsid w:val="34E972FC"/>
    <w:rsid w:val="34F83EF3"/>
    <w:rsid w:val="34F952C9"/>
    <w:rsid w:val="34F953E0"/>
    <w:rsid w:val="34FD069C"/>
    <w:rsid w:val="34FF2166"/>
    <w:rsid w:val="3503286C"/>
    <w:rsid w:val="350919E2"/>
    <w:rsid w:val="350A773D"/>
    <w:rsid w:val="350B69C5"/>
    <w:rsid w:val="350F2D16"/>
    <w:rsid w:val="351B011C"/>
    <w:rsid w:val="351C075B"/>
    <w:rsid w:val="351E33A2"/>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7E2D2E"/>
    <w:rsid w:val="358323BB"/>
    <w:rsid w:val="358618B0"/>
    <w:rsid w:val="3589285D"/>
    <w:rsid w:val="35967E5E"/>
    <w:rsid w:val="359C1F6C"/>
    <w:rsid w:val="35A02A2E"/>
    <w:rsid w:val="35A0338E"/>
    <w:rsid w:val="35A16611"/>
    <w:rsid w:val="35A26038"/>
    <w:rsid w:val="35A31A0A"/>
    <w:rsid w:val="35A41DB0"/>
    <w:rsid w:val="35A57D9C"/>
    <w:rsid w:val="35A818A1"/>
    <w:rsid w:val="35A974EC"/>
    <w:rsid w:val="35AB5D7D"/>
    <w:rsid w:val="35B16342"/>
    <w:rsid w:val="35B31B82"/>
    <w:rsid w:val="35B670D8"/>
    <w:rsid w:val="35C154C0"/>
    <w:rsid w:val="35C7584B"/>
    <w:rsid w:val="35CA5CBB"/>
    <w:rsid w:val="35D2581D"/>
    <w:rsid w:val="35D31DE1"/>
    <w:rsid w:val="35D361F7"/>
    <w:rsid w:val="35D801CA"/>
    <w:rsid w:val="35DD2AEE"/>
    <w:rsid w:val="35E425DA"/>
    <w:rsid w:val="35EA0FD5"/>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7464B"/>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E29C6"/>
    <w:rsid w:val="37A4082B"/>
    <w:rsid w:val="37A4627C"/>
    <w:rsid w:val="37A530D5"/>
    <w:rsid w:val="37A643C8"/>
    <w:rsid w:val="37A8202C"/>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7266B"/>
    <w:rsid w:val="37FD1EC6"/>
    <w:rsid w:val="380579FE"/>
    <w:rsid w:val="380A2EB4"/>
    <w:rsid w:val="380F49F1"/>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F5F"/>
    <w:rsid w:val="384C2D57"/>
    <w:rsid w:val="38557E21"/>
    <w:rsid w:val="3856501D"/>
    <w:rsid w:val="38590DD6"/>
    <w:rsid w:val="38595EAC"/>
    <w:rsid w:val="385F47DB"/>
    <w:rsid w:val="38613F89"/>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50513"/>
    <w:rsid w:val="392A2638"/>
    <w:rsid w:val="392B6A4C"/>
    <w:rsid w:val="393232FB"/>
    <w:rsid w:val="393544DD"/>
    <w:rsid w:val="393962EC"/>
    <w:rsid w:val="393F6CD7"/>
    <w:rsid w:val="394119D0"/>
    <w:rsid w:val="39457868"/>
    <w:rsid w:val="394620D9"/>
    <w:rsid w:val="39462EDC"/>
    <w:rsid w:val="394935B8"/>
    <w:rsid w:val="394A075F"/>
    <w:rsid w:val="394A2C6F"/>
    <w:rsid w:val="394C557A"/>
    <w:rsid w:val="3952190F"/>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9085D"/>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749A"/>
    <w:rsid w:val="39D5434E"/>
    <w:rsid w:val="39D55A2B"/>
    <w:rsid w:val="39D7557D"/>
    <w:rsid w:val="39DA652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460EF"/>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A22B9"/>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91033"/>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60B0"/>
    <w:rsid w:val="3B3A132E"/>
    <w:rsid w:val="3B3B6D13"/>
    <w:rsid w:val="3B443E1A"/>
    <w:rsid w:val="3B456D7F"/>
    <w:rsid w:val="3B4848E9"/>
    <w:rsid w:val="3B517555"/>
    <w:rsid w:val="3B530A17"/>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B20EB"/>
    <w:rsid w:val="3BAF052C"/>
    <w:rsid w:val="3BB06E31"/>
    <w:rsid w:val="3BB40DC9"/>
    <w:rsid w:val="3BB47D9F"/>
    <w:rsid w:val="3BB8361B"/>
    <w:rsid w:val="3BD039A1"/>
    <w:rsid w:val="3BD16A31"/>
    <w:rsid w:val="3BD40BDF"/>
    <w:rsid w:val="3BD827B4"/>
    <w:rsid w:val="3BDB4BB2"/>
    <w:rsid w:val="3BDE5F43"/>
    <w:rsid w:val="3BE027DC"/>
    <w:rsid w:val="3BE253C4"/>
    <w:rsid w:val="3BE6675A"/>
    <w:rsid w:val="3BE745F7"/>
    <w:rsid w:val="3BEB073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31A3E"/>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031B9"/>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3B749E"/>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57100"/>
    <w:rsid w:val="3DA9667F"/>
    <w:rsid w:val="3DAA0180"/>
    <w:rsid w:val="3DAB63D2"/>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B790F"/>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66C5A"/>
    <w:rsid w:val="3F3C6744"/>
    <w:rsid w:val="3F421D47"/>
    <w:rsid w:val="3F441B08"/>
    <w:rsid w:val="3F4A4087"/>
    <w:rsid w:val="3F5361F5"/>
    <w:rsid w:val="3F555F0F"/>
    <w:rsid w:val="3F556D23"/>
    <w:rsid w:val="3F60143E"/>
    <w:rsid w:val="3F6B3632"/>
    <w:rsid w:val="3F6C4EC6"/>
    <w:rsid w:val="3F742249"/>
    <w:rsid w:val="3F776E0A"/>
    <w:rsid w:val="3F786042"/>
    <w:rsid w:val="3F8978E2"/>
    <w:rsid w:val="3F8A6711"/>
    <w:rsid w:val="3F952814"/>
    <w:rsid w:val="3F956B94"/>
    <w:rsid w:val="3F9C0821"/>
    <w:rsid w:val="3F9C213C"/>
    <w:rsid w:val="3FA23805"/>
    <w:rsid w:val="3FA41C63"/>
    <w:rsid w:val="3FAB100B"/>
    <w:rsid w:val="3FAB3D87"/>
    <w:rsid w:val="3FAB41A2"/>
    <w:rsid w:val="3FAC7237"/>
    <w:rsid w:val="3FAE47F6"/>
    <w:rsid w:val="3FB03D8B"/>
    <w:rsid w:val="3FB61758"/>
    <w:rsid w:val="3FB77F5A"/>
    <w:rsid w:val="3FB80293"/>
    <w:rsid w:val="3FBB4BEF"/>
    <w:rsid w:val="3FBE30B8"/>
    <w:rsid w:val="3FC044DE"/>
    <w:rsid w:val="3FC30FED"/>
    <w:rsid w:val="3FC4377B"/>
    <w:rsid w:val="3FCE63A8"/>
    <w:rsid w:val="3FCF604C"/>
    <w:rsid w:val="3FD210AC"/>
    <w:rsid w:val="3FD53CFE"/>
    <w:rsid w:val="3FD9316A"/>
    <w:rsid w:val="3FE1096B"/>
    <w:rsid w:val="3FE210C1"/>
    <w:rsid w:val="3FE67B95"/>
    <w:rsid w:val="3FE9250A"/>
    <w:rsid w:val="3FEB1C22"/>
    <w:rsid w:val="3FEE2117"/>
    <w:rsid w:val="3FFA58A6"/>
    <w:rsid w:val="3FFA5C63"/>
    <w:rsid w:val="40073561"/>
    <w:rsid w:val="400A1CFC"/>
    <w:rsid w:val="400F2BE0"/>
    <w:rsid w:val="401D6DEE"/>
    <w:rsid w:val="401F7AF6"/>
    <w:rsid w:val="40201634"/>
    <w:rsid w:val="402079EB"/>
    <w:rsid w:val="402C52D5"/>
    <w:rsid w:val="402E1CA4"/>
    <w:rsid w:val="40316D02"/>
    <w:rsid w:val="4034637C"/>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E13A8"/>
    <w:rsid w:val="409F75BB"/>
    <w:rsid w:val="40AB3054"/>
    <w:rsid w:val="40AC71AD"/>
    <w:rsid w:val="40AE78C1"/>
    <w:rsid w:val="40AF2B72"/>
    <w:rsid w:val="40B57568"/>
    <w:rsid w:val="40BD153A"/>
    <w:rsid w:val="40C2126A"/>
    <w:rsid w:val="40C3250A"/>
    <w:rsid w:val="40CD7BD8"/>
    <w:rsid w:val="40CE24AF"/>
    <w:rsid w:val="40D022F1"/>
    <w:rsid w:val="40D07371"/>
    <w:rsid w:val="40D43E92"/>
    <w:rsid w:val="40D519B8"/>
    <w:rsid w:val="40D72999"/>
    <w:rsid w:val="40DF3ABC"/>
    <w:rsid w:val="40E75AF0"/>
    <w:rsid w:val="40E87142"/>
    <w:rsid w:val="40E961DC"/>
    <w:rsid w:val="40EF3C78"/>
    <w:rsid w:val="40F00A85"/>
    <w:rsid w:val="40F1013C"/>
    <w:rsid w:val="40F35427"/>
    <w:rsid w:val="40F63E08"/>
    <w:rsid w:val="40FA38BC"/>
    <w:rsid w:val="40FE1447"/>
    <w:rsid w:val="41020CBD"/>
    <w:rsid w:val="41053DED"/>
    <w:rsid w:val="41216875"/>
    <w:rsid w:val="412506DF"/>
    <w:rsid w:val="412D52A9"/>
    <w:rsid w:val="41320BD6"/>
    <w:rsid w:val="413314B6"/>
    <w:rsid w:val="41360F5F"/>
    <w:rsid w:val="413815BA"/>
    <w:rsid w:val="413B1BAB"/>
    <w:rsid w:val="41434504"/>
    <w:rsid w:val="414559DF"/>
    <w:rsid w:val="4149456B"/>
    <w:rsid w:val="414F41D7"/>
    <w:rsid w:val="414F52C6"/>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31C2"/>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9E6C59"/>
    <w:rsid w:val="42A50044"/>
    <w:rsid w:val="42A87389"/>
    <w:rsid w:val="42B63D6B"/>
    <w:rsid w:val="42B92FAE"/>
    <w:rsid w:val="42C5796D"/>
    <w:rsid w:val="42D02E55"/>
    <w:rsid w:val="42D216FF"/>
    <w:rsid w:val="42D420EA"/>
    <w:rsid w:val="42D67001"/>
    <w:rsid w:val="42DC3862"/>
    <w:rsid w:val="42E06A10"/>
    <w:rsid w:val="42EF51EC"/>
    <w:rsid w:val="42F46A4C"/>
    <w:rsid w:val="42F503E1"/>
    <w:rsid w:val="42F511BA"/>
    <w:rsid w:val="42F875D5"/>
    <w:rsid w:val="43073BEF"/>
    <w:rsid w:val="430A5FFD"/>
    <w:rsid w:val="430B16C1"/>
    <w:rsid w:val="43112BE5"/>
    <w:rsid w:val="43120C73"/>
    <w:rsid w:val="431B56C6"/>
    <w:rsid w:val="431C1B20"/>
    <w:rsid w:val="431C7B04"/>
    <w:rsid w:val="431F752B"/>
    <w:rsid w:val="4320516C"/>
    <w:rsid w:val="43210932"/>
    <w:rsid w:val="4324632E"/>
    <w:rsid w:val="432466AA"/>
    <w:rsid w:val="432B0FC9"/>
    <w:rsid w:val="432E5E21"/>
    <w:rsid w:val="432F4EDA"/>
    <w:rsid w:val="43346E69"/>
    <w:rsid w:val="4334749B"/>
    <w:rsid w:val="433C41B8"/>
    <w:rsid w:val="433D2335"/>
    <w:rsid w:val="433F57C3"/>
    <w:rsid w:val="43405AEE"/>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A7C97"/>
    <w:rsid w:val="438B6310"/>
    <w:rsid w:val="439322F0"/>
    <w:rsid w:val="43964600"/>
    <w:rsid w:val="4397231A"/>
    <w:rsid w:val="43983A01"/>
    <w:rsid w:val="439C3431"/>
    <w:rsid w:val="439D0E7C"/>
    <w:rsid w:val="43A26A83"/>
    <w:rsid w:val="43A41643"/>
    <w:rsid w:val="43AD114D"/>
    <w:rsid w:val="43B261D6"/>
    <w:rsid w:val="43B27D9E"/>
    <w:rsid w:val="43B329A6"/>
    <w:rsid w:val="43BE3F55"/>
    <w:rsid w:val="43C0281C"/>
    <w:rsid w:val="43C02B26"/>
    <w:rsid w:val="43C81360"/>
    <w:rsid w:val="43C91C5B"/>
    <w:rsid w:val="43D10A40"/>
    <w:rsid w:val="43D67A91"/>
    <w:rsid w:val="43DB479B"/>
    <w:rsid w:val="43DD12AF"/>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14AB5"/>
    <w:rsid w:val="44153F0C"/>
    <w:rsid w:val="44174583"/>
    <w:rsid w:val="441A5200"/>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31B1E"/>
    <w:rsid w:val="44DF6F1B"/>
    <w:rsid w:val="44E16B7D"/>
    <w:rsid w:val="44E54BDC"/>
    <w:rsid w:val="44E92DF3"/>
    <w:rsid w:val="44F82D0E"/>
    <w:rsid w:val="44F8400C"/>
    <w:rsid w:val="44F85C75"/>
    <w:rsid w:val="45004D64"/>
    <w:rsid w:val="450174D5"/>
    <w:rsid w:val="450C6FC4"/>
    <w:rsid w:val="451C5E9C"/>
    <w:rsid w:val="45214561"/>
    <w:rsid w:val="452C41B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456F7"/>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66306"/>
    <w:rsid w:val="46875502"/>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8451D"/>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46D42"/>
    <w:rsid w:val="47FA20F9"/>
    <w:rsid w:val="47FF3A74"/>
    <w:rsid w:val="48041F1C"/>
    <w:rsid w:val="48050DD4"/>
    <w:rsid w:val="480A0199"/>
    <w:rsid w:val="480B1862"/>
    <w:rsid w:val="480B7A59"/>
    <w:rsid w:val="480F1D9B"/>
    <w:rsid w:val="48111DC2"/>
    <w:rsid w:val="48156BFB"/>
    <w:rsid w:val="481E5F8D"/>
    <w:rsid w:val="48204877"/>
    <w:rsid w:val="482B39B5"/>
    <w:rsid w:val="482D350F"/>
    <w:rsid w:val="483A4006"/>
    <w:rsid w:val="483A5FF0"/>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8E493F"/>
    <w:rsid w:val="48901983"/>
    <w:rsid w:val="48942964"/>
    <w:rsid w:val="489B4431"/>
    <w:rsid w:val="489D100D"/>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66A85"/>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A07DE"/>
    <w:rsid w:val="492F1F4E"/>
    <w:rsid w:val="4935171C"/>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4280C"/>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0D21C2"/>
    <w:rsid w:val="4A14785B"/>
    <w:rsid w:val="4A175A09"/>
    <w:rsid w:val="4A19214F"/>
    <w:rsid w:val="4A1F7925"/>
    <w:rsid w:val="4A2126A3"/>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04DE4"/>
    <w:rsid w:val="4AA4318E"/>
    <w:rsid w:val="4AA456B8"/>
    <w:rsid w:val="4AA75186"/>
    <w:rsid w:val="4AAA17BF"/>
    <w:rsid w:val="4AAF1B3A"/>
    <w:rsid w:val="4AB01D3D"/>
    <w:rsid w:val="4AB113DF"/>
    <w:rsid w:val="4AB75FB2"/>
    <w:rsid w:val="4ABB3CDE"/>
    <w:rsid w:val="4AC40AD3"/>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435C5"/>
    <w:rsid w:val="4B081F1A"/>
    <w:rsid w:val="4B0A119A"/>
    <w:rsid w:val="4B0D6C0E"/>
    <w:rsid w:val="4B1550AF"/>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C0FDE"/>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328F5"/>
    <w:rsid w:val="4BB42604"/>
    <w:rsid w:val="4BB548C0"/>
    <w:rsid w:val="4BB5799E"/>
    <w:rsid w:val="4BBD6286"/>
    <w:rsid w:val="4BBE0B8F"/>
    <w:rsid w:val="4BC456EF"/>
    <w:rsid w:val="4BC468B1"/>
    <w:rsid w:val="4BC647B0"/>
    <w:rsid w:val="4BCB1BAE"/>
    <w:rsid w:val="4BD93E42"/>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D2D4A"/>
    <w:rsid w:val="4C5035A1"/>
    <w:rsid w:val="4C521ECD"/>
    <w:rsid w:val="4C5F0B5D"/>
    <w:rsid w:val="4C606F33"/>
    <w:rsid w:val="4C6426ED"/>
    <w:rsid w:val="4C64471A"/>
    <w:rsid w:val="4C6C2FE2"/>
    <w:rsid w:val="4C6D5BD4"/>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90623"/>
    <w:rsid w:val="4CCA439B"/>
    <w:rsid w:val="4CCB7596"/>
    <w:rsid w:val="4CCD5921"/>
    <w:rsid w:val="4CCF0694"/>
    <w:rsid w:val="4CCF070A"/>
    <w:rsid w:val="4CCF2105"/>
    <w:rsid w:val="4CD550D5"/>
    <w:rsid w:val="4CDA21DD"/>
    <w:rsid w:val="4CDD4AFB"/>
    <w:rsid w:val="4CE472E9"/>
    <w:rsid w:val="4CE6229C"/>
    <w:rsid w:val="4CEE0089"/>
    <w:rsid w:val="4CEE62DB"/>
    <w:rsid w:val="4CF045FC"/>
    <w:rsid w:val="4CF04CFC"/>
    <w:rsid w:val="4CF05C74"/>
    <w:rsid w:val="4CF12BC2"/>
    <w:rsid w:val="4CF266D7"/>
    <w:rsid w:val="4CF26BC3"/>
    <w:rsid w:val="4CF80F08"/>
    <w:rsid w:val="4CFB51DB"/>
    <w:rsid w:val="4CFB6302"/>
    <w:rsid w:val="4CFC3F2E"/>
    <w:rsid w:val="4D063B0D"/>
    <w:rsid w:val="4D0F1680"/>
    <w:rsid w:val="4D1855BA"/>
    <w:rsid w:val="4D1B4205"/>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11B5C"/>
    <w:rsid w:val="4EA12ED9"/>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0321"/>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6F14E1"/>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1A70"/>
    <w:rsid w:val="50D228CF"/>
    <w:rsid w:val="50E63519"/>
    <w:rsid w:val="50ED76FB"/>
    <w:rsid w:val="50F1639A"/>
    <w:rsid w:val="50F568D9"/>
    <w:rsid w:val="50FD2A03"/>
    <w:rsid w:val="510D4A1E"/>
    <w:rsid w:val="51134562"/>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7754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EB9"/>
    <w:rsid w:val="54757648"/>
    <w:rsid w:val="5478695B"/>
    <w:rsid w:val="54860559"/>
    <w:rsid w:val="548810E8"/>
    <w:rsid w:val="54906088"/>
    <w:rsid w:val="54907EF0"/>
    <w:rsid w:val="549438A5"/>
    <w:rsid w:val="549C64AD"/>
    <w:rsid w:val="549C6534"/>
    <w:rsid w:val="549F610D"/>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030F"/>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20C3"/>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31591"/>
    <w:rsid w:val="5794266A"/>
    <w:rsid w:val="57955219"/>
    <w:rsid w:val="579A7C07"/>
    <w:rsid w:val="579B705F"/>
    <w:rsid w:val="579F309F"/>
    <w:rsid w:val="57A46FEE"/>
    <w:rsid w:val="57A852D8"/>
    <w:rsid w:val="57AA5A5F"/>
    <w:rsid w:val="57AD531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73696"/>
    <w:rsid w:val="57F95B34"/>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753D7"/>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C919AA"/>
    <w:rsid w:val="58CE0D6F"/>
    <w:rsid w:val="58D720A4"/>
    <w:rsid w:val="58DB456A"/>
    <w:rsid w:val="58DC3983"/>
    <w:rsid w:val="58E56245"/>
    <w:rsid w:val="58E909DD"/>
    <w:rsid w:val="58EB1C90"/>
    <w:rsid w:val="58EE536D"/>
    <w:rsid w:val="58F233BC"/>
    <w:rsid w:val="58F31AEC"/>
    <w:rsid w:val="58F5279F"/>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215B1"/>
    <w:rsid w:val="5A132EDD"/>
    <w:rsid w:val="5A1B6236"/>
    <w:rsid w:val="5A1D0AF2"/>
    <w:rsid w:val="5A1D5F5B"/>
    <w:rsid w:val="5A1E6A9C"/>
    <w:rsid w:val="5A1F5196"/>
    <w:rsid w:val="5A227353"/>
    <w:rsid w:val="5A265096"/>
    <w:rsid w:val="5A292273"/>
    <w:rsid w:val="5A2943A6"/>
    <w:rsid w:val="5A2A6592"/>
    <w:rsid w:val="5A2D0557"/>
    <w:rsid w:val="5A2F1CE1"/>
    <w:rsid w:val="5A33357F"/>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C4D58"/>
    <w:rsid w:val="5B5E462C"/>
    <w:rsid w:val="5B5F2FE4"/>
    <w:rsid w:val="5B6207A7"/>
    <w:rsid w:val="5B627DC7"/>
    <w:rsid w:val="5B676E56"/>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D7BB4"/>
    <w:rsid w:val="5C3A57F6"/>
    <w:rsid w:val="5C3B2DCF"/>
    <w:rsid w:val="5C474C2E"/>
    <w:rsid w:val="5C494C6D"/>
    <w:rsid w:val="5C500AF8"/>
    <w:rsid w:val="5C50666A"/>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110CBF"/>
    <w:rsid w:val="5D19384D"/>
    <w:rsid w:val="5D22473A"/>
    <w:rsid w:val="5D237B4C"/>
    <w:rsid w:val="5D2B5629"/>
    <w:rsid w:val="5D2E44D2"/>
    <w:rsid w:val="5D301CD3"/>
    <w:rsid w:val="5D315CEB"/>
    <w:rsid w:val="5D326462"/>
    <w:rsid w:val="5D3926A3"/>
    <w:rsid w:val="5D3B59DF"/>
    <w:rsid w:val="5D3C59F3"/>
    <w:rsid w:val="5D473075"/>
    <w:rsid w:val="5D475E41"/>
    <w:rsid w:val="5D4822EE"/>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6F64A1"/>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1F2324"/>
    <w:rsid w:val="5F233A81"/>
    <w:rsid w:val="5F243C26"/>
    <w:rsid w:val="5F2B4891"/>
    <w:rsid w:val="5F2C64A1"/>
    <w:rsid w:val="5F3847DF"/>
    <w:rsid w:val="5F39582E"/>
    <w:rsid w:val="5F3C1128"/>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4660"/>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0D7B"/>
    <w:rsid w:val="60143AD3"/>
    <w:rsid w:val="60281FCD"/>
    <w:rsid w:val="602876AC"/>
    <w:rsid w:val="602A0F80"/>
    <w:rsid w:val="602D281F"/>
    <w:rsid w:val="602D6A03"/>
    <w:rsid w:val="603215F4"/>
    <w:rsid w:val="603771DA"/>
    <w:rsid w:val="604069F6"/>
    <w:rsid w:val="60447D4E"/>
    <w:rsid w:val="60447E31"/>
    <w:rsid w:val="604C5236"/>
    <w:rsid w:val="605006BC"/>
    <w:rsid w:val="60584E5C"/>
    <w:rsid w:val="606162D0"/>
    <w:rsid w:val="60674769"/>
    <w:rsid w:val="606A5821"/>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B7AA3"/>
    <w:rsid w:val="616C1663"/>
    <w:rsid w:val="616C7377"/>
    <w:rsid w:val="616E223F"/>
    <w:rsid w:val="617305C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26170"/>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E026E"/>
    <w:rsid w:val="62920187"/>
    <w:rsid w:val="6295194F"/>
    <w:rsid w:val="62955B56"/>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AC7EFE"/>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0D3093"/>
    <w:rsid w:val="6411454E"/>
    <w:rsid w:val="64225C1C"/>
    <w:rsid w:val="642437E9"/>
    <w:rsid w:val="64323DAD"/>
    <w:rsid w:val="64340FCD"/>
    <w:rsid w:val="64377182"/>
    <w:rsid w:val="643F3FFC"/>
    <w:rsid w:val="64485E79"/>
    <w:rsid w:val="644A69BC"/>
    <w:rsid w:val="644A7E43"/>
    <w:rsid w:val="644C372C"/>
    <w:rsid w:val="64521327"/>
    <w:rsid w:val="645256C0"/>
    <w:rsid w:val="645514C1"/>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B18DC"/>
    <w:rsid w:val="64BD0615"/>
    <w:rsid w:val="64BE5702"/>
    <w:rsid w:val="64C0647A"/>
    <w:rsid w:val="64C16289"/>
    <w:rsid w:val="64CF05E4"/>
    <w:rsid w:val="64CF1E41"/>
    <w:rsid w:val="64D32645"/>
    <w:rsid w:val="64D40BDA"/>
    <w:rsid w:val="64D93F02"/>
    <w:rsid w:val="64DF1E48"/>
    <w:rsid w:val="64E52880"/>
    <w:rsid w:val="64E5543E"/>
    <w:rsid w:val="64E76F6D"/>
    <w:rsid w:val="64EA4517"/>
    <w:rsid w:val="64F7726B"/>
    <w:rsid w:val="64FC561C"/>
    <w:rsid w:val="64FC687A"/>
    <w:rsid w:val="64FE0E31"/>
    <w:rsid w:val="650270B1"/>
    <w:rsid w:val="65085608"/>
    <w:rsid w:val="65091AAC"/>
    <w:rsid w:val="650D1D92"/>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43869"/>
    <w:rsid w:val="65D54C8C"/>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4C0B"/>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91CCB"/>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F4916"/>
    <w:rsid w:val="67A13333"/>
    <w:rsid w:val="67A45590"/>
    <w:rsid w:val="67A67078"/>
    <w:rsid w:val="67A7132F"/>
    <w:rsid w:val="67A867F7"/>
    <w:rsid w:val="67AC341B"/>
    <w:rsid w:val="67B10069"/>
    <w:rsid w:val="67B42C3D"/>
    <w:rsid w:val="67B6037E"/>
    <w:rsid w:val="67B861F9"/>
    <w:rsid w:val="67C149C0"/>
    <w:rsid w:val="67C25F42"/>
    <w:rsid w:val="67C7427D"/>
    <w:rsid w:val="67CA7967"/>
    <w:rsid w:val="67CC38C5"/>
    <w:rsid w:val="67D9695E"/>
    <w:rsid w:val="67DB5BED"/>
    <w:rsid w:val="67DC5CEA"/>
    <w:rsid w:val="67DF18A0"/>
    <w:rsid w:val="67DF6EC0"/>
    <w:rsid w:val="67E024C8"/>
    <w:rsid w:val="67E070C6"/>
    <w:rsid w:val="67E35B0A"/>
    <w:rsid w:val="67EA524A"/>
    <w:rsid w:val="67F05009"/>
    <w:rsid w:val="67F0511C"/>
    <w:rsid w:val="67F5522D"/>
    <w:rsid w:val="67F72090"/>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A2231"/>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233FD"/>
    <w:rsid w:val="6953741D"/>
    <w:rsid w:val="69552B47"/>
    <w:rsid w:val="6956014F"/>
    <w:rsid w:val="695A5DE1"/>
    <w:rsid w:val="695E7EED"/>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C352D"/>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45410"/>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03D4E"/>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71509"/>
    <w:rsid w:val="6C882F2E"/>
    <w:rsid w:val="6C8E4315"/>
    <w:rsid w:val="6C9360FF"/>
    <w:rsid w:val="6C95615F"/>
    <w:rsid w:val="6CA94419"/>
    <w:rsid w:val="6CB242A2"/>
    <w:rsid w:val="6CB92EE5"/>
    <w:rsid w:val="6CBB719C"/>
    <w:rsid w:val="6CC818AD"/>
    <w:rsid w:val="6CD944B7"/>
    <w:rsid w:val="6CE0612A"/>
    <w:rsid w:val="6CE269D3"/>
    <w:rsid w:val="6CEA68AF"/>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AF6F69"/>
    <w:rsid w:val="6DB20233"/>
    <w:rsid w:val="6DB81D13"/>
    <w:rsid w:val="6DBC51E2"/>
    <w:rsid w:val="6DBE1B7B"/>
    <w:rsid w:val="6DC02F24"/>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05B45"/>
    <w:rsid w:val="6E83317D"/>
    <w:rsid w:val="6E8B20DB"/>
    <w:rsid w:val="6E8C1058"/>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0296B"/>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15617"/>
    <w:rsid w:val="6FF561D1"/>
    <w:rsid w:val="6FFA6C96"/>
    <w:rsid w:val="6FFF10F4"/>
    <w:rsid w:val="7004359C"/>
    <w:rsid w:val="700477C8"/>
    <w:rsid w:val="70065F3C"/>
    <w:rsid w:val="700C0460"/>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E62BB"/>
    <w:rsid w:val="707F2C23"/>
    <w:rsid w:val="708A1067"/>
    <w:rsid w:val="70910C43"/>
    <w:rsid w:val="70934920"/>
    <w:rsid w:val="70992BBC"/>
    <w:rsid w:val="709E4E34"/>
    <w:rsid w:val="709E640C"/>
    <w:rsid w:val="70A049F5"/>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0FE6268"/>
    <w:rsid w:val="71017D80"/>
    <w:rsid w:val="710524E2"/>
    <w:rsid w:val="71066F02"/>
    <w:rsid w:val="710B03C6"/>
    <w:rsid w:val="710C1678"/>
    <w:rsid w:val="710F2DDC"/>
    <w:rsid w:val="711604AB"/>
    <w:rsid w:val="7118620B"/>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2501"/>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0565A"/>
    <w:rsid w:val="726248F8"/>
    <w:rsid w:val="72632A3F"/>
    <w:rsid w:val="727334E4"/>
    <w:rsid w:val="72756082"/>
    <w:rsid w:val="727717D1"/>
    <w:rsid w:val="72772DDB"/>
    <w:rsid w:val="72796D22"/>
    <w:rsid w:val="727B2E39"/>
    <w:rsid w:val="727D13E4"/>
    <w:rsid w:val="72805AF5"/>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24331"/>
    <w:rsid w:val="73970334"/>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80DF9"/>
    <w:rsid w:val="74BC7516"/>
    <w:rsid w:val="74C0607C"/>
    <w:rsid w:val="74C46840"/>
    <w:rsid w:val="74D575AA"/>
    <w:rsid w:val="74D71DDE"/>
    <w:rsid w:val="74D81646"/>
    <w:rsid w:val="74D95703"/>
    <w:rsid w:val="74DA7956"/>
    <w:rsid w:val="74E11F86"/>
    <w:rsid w:val="74E42FB0"/>
    <w:rsid w:val="74E67714"/>
    <w:rsid w:val="74F17E67"/>
    <w:rsid w:val="74F57957"/>
    <w:rsid w:val="74F6547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4B7577"/>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01AD0"/>
    <w:rsid w:val="75BB549C"/>
    <w:rsid w:val="75C123A7"/>
    <w:rsid w:val="75C1550C"/>
    <w:rsid w:val="75C44D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1348DE"/>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C04E9"/>
    <w:rsid w:val="76AF378A"/>
    <w:rsid w:val="76B12F58"/>
    <w:rsid w:val="76B153BA"/>
    <w:rsid w:val="76BE7B18"/>
    <w:rsid w:val="76BF40F9"/>
    <w:rsid w:val="76C123FB"/>
    <w:rsid w:val="76C72CA0"/>
    <w:rsid w:val="76D02C26"/>
    <w:rsid w:val="76D63C26"/>
    <w:rsid w:val="76E36B6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87F65"/>
    <w:rsid w:val="771F5D7B"/>
    <w:rsid w:val="77254D57"/>
    <w:rsid w:val="772631E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64F39"/>
    <w:rsid w:val="77A75021"/>
    <w:rsid w:val="77AE3DED"/>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14865"/>
    <w:rsid w:val="78036043"/>
    <w:rsid w:val="780F6CAF"/>
    <w:rsid w:val="780F6F82"/>
    <w:rsid w:val="781164D0"/>
    <w:rsid w:val="7813374F"/>
    <w:rsid w:val="781838FF"/>
    <w:rsid w:val="781A21DD"/>
    <w:rsid w:val="781B3886"/>
    <w:rsid w:val="782466AD"/>
    <w:rsid w:val="78251F22"/>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C2FA9"/>
    <w:rsid w:val="78DD4939"/>
    <w:rsid w:val="78DD6155"/>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1E14DF"/>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F4BAF"/>
    <w:rsid w:val="79501475"/>
    <w:rsid w:val="79517126"/>
    <w:rsid w:val="79524043"/>
    <w:rsid w:val="795A5499"/>
    <w:rsid w:val="79683DA9"/>
    <w:rsid w:val="796E35F2"/>
    <w:rsid w:val="7971290E"/>
    <w:rsid w:val="79756908"/>
    <w:rsid w:val="79762768"/>
    <w:rsid w:val="797951A9"/>
    <w:rsid w:val="797C0892"/>
    <w:rsid w:val="79815591"/>
    <w:rsid w:val="79823784"/>
    <w:rsid w:val="798C57FA"/>
    <w:rsid w:val="798E4989"/>
    <w:rsid w:val="7990174F"/>
    <w:rsid w:val="799537B4"/>
    <w:rsid w:val="799A4E91"/>
    <w:rsid w:val="799C50CF"/>
    <w:rsid w:val="79A02BCA"/>
    <w:rsid w:val="79A15149"/>
    <w:rsid w:val="79A25548"/>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375F1"/>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10BC1"/>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A4316"/>
    <w:rsid w:val="7B3D7962"/>
    <w:rsid w:val="7B3E674E"/>
    <w:rsid w:val="7B42141C"/>
    <w:rsid w:val="7B445194"/>
    <w:rsid w:val="7B453F4C"/>
    <w:rsid w:val="7B471906"/>
    <w:rsid w:val="7B4A5781"/>
    <w:rsid w:val="7B4C03D4"/>
    <w:rsid w:val="7B4E09BF"/>
    <w:rsid w:val="7B5231E8"/>
    <w:rsid w:val="7B532E71"/>
    <w:rsid w:val="7B546C0C"/>
    <w:rsid w:val="7B603C7C"/>
    <w:rsid w:val="7B6171E6"/>
    <w:rsid w:val="7B6452CE"/>
    <w:rsid w:val="7B65590F"/>
    <w:rsid w:val="7B670E83"/>
    <w:rsid w:val="7B674F74"/>
    <w:rsid w:val="7B6E2AB1"/>
    <w:rsid w:val="7B736B52"/>
    <w:rsid w:val="7B771CED"/>
    <w:rsid w:val="7B7C1A5E"/>
    <w:rsid w:val="7B7C6F63"/>
    <w:rsid w:val="7B841287"/>
    <w:rsid w:val="7B8657AD"/>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428D0"/>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51F65"/>
    <w:rsid w:val="7CD72F9B"/>
    <w:rsid w:val="7CE146B6"/>
    <w:rsid w:val="7CE65C11"/>
    <w:rsid w:val="7CE70935"/>
    <w:rsid w:val="7CF401B4"/>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A49D8"/>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80199"/>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6211E"/>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2251C2"/>
    <w:rsid w:val="7F233D48"/>
    <w:rsid w:val="7F2618F3"/>
    <w:rsid w:val="7F2826D7"/>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7</Pages>
  <Words>763</Words>
  <Characters>4217</Characters>
  <Lines>73</Lines>
  <Paragraphs>20</Paragraphs>
  <TotalTime>0</TotalTime>
  <ScaleCrop>false</ScaleCrop>
  <LinksUpToDate>false</LinksUpToDate>
  <CharactersWithSpaces>4998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2025-10-03T15:05:00Z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E67A907F164B4A27830DBE3DD780D5E6_13</vt:lpwstr>
  </property>
  <property fmtid="{D5CDD505-2E9C-101B-9397-08002B2CF9AE}" pid="4" name="KSOTemplateDocerSaveRecord">
    <vt:lpwstr>eyJoZGlkIjoiNTA2MDIzMjk0NzI5MmEzNWQ4YmNjZGZiMjgzNzc2MDMiLCJ1c2VySWQiOiIxMDQyMjkzMzc0In0=</vt:lpwstr>
  </property>
</Properties>
</file>